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B83" w:rsidRPr="00E726C7" w:rsidRDefault="001118D7">
      <w:pPr>
        <w:rPr>
          <w:rFonts w:cs="Times New Roman"/>
          <w:b/>
        </w:rPr>
      </w:pPr>
      <w:r w:rsidRPr="00E726C7">
        <w:rPr>
          <w:rFonts w:cs="Times New Roman"/>
          <w:b/>
        </w:rPr>
        <w:t>University Students Evaluation of Psychosocial Problems (USEPP) Scale</w:t>
      </w:r>
      <w:r w:rsidR="00F36E43" w:rsidRPr="00E726C7">
        <w:rPr>
          <w:rFonts w:cs="Times New Roman"/>
          <w:b/>
        </w:rPr>
        <w:t xml:space="preserve"> (Registered Copyright)</w:t>
      </w:r>
    </w:p>
    <w:p w:rsidR="007A024B" w:rsidRPr="00E726C7" w:rsidRDefault="007A024B">
      <w:pPr>
        <w:rPr>
          <w:rFonts w:cs="Times New Roman"/>
          <w:b/>
        </w:rPr>
      </w:pPr>
      <w:r w:rsidRPr="00E726C7">
        <w:rPr>
          <w:rFonts w:cs="Times New Roman"/>
          <w:b/>
        </w:rPr>
        <w:t xml:space="preserve">Author </w:t>
      </w:r>
      <w:r w:rsidRPr="00E726C7">
        <w:rPr>
          <w:rFonts w:cs="Times New Roman"/>
        </w:rPr>
        <w:t>Dr. Norman David Nsereko, Senior Lecturer, Counselling Psychology</w:t>
      </w:r>
    </w:p>
    <w:p w:rsidR="00A556BF" w:rsidRPr="00E726C7" w:rsidRDefault="009903D0">
      <w:pPr>
        <w:rPr>
          <w:rFonts w:cs="Times New Roman"/>
          <w:b/>
        </w:rPr>
      </w:pPr>
      <w:r w:rsidRPr="00E726C7">
        <w:rPr>
          <w:rFonts w:cs="Times New Roman"/>
          <w:b/>
        </w:rPr>
        <w:t>Overview</w:t>
      </w:r>
    </w:p>
    <w:p w:rsidR="00087103" w:rsidRPr="00E726C7" w:rsidRDefault="00F36E43">
      <w:pPr>
        <w:rPr>
          <w:rFonts w:cs="Times New Roman"/>
        </w:rPr>
      </w:pPr>
      <w:r w:rsidRPr="00E726C7">
        <w:rPr>
          <w:rFonts w:cs="Times New Roman"/>
        </w:rPr>
        <w:t>The University Students Evaluation of Psychosocial Problems (USEPP) scale is a multidimensional, self-administered psychological instrument measuring psychosocial problems among university students</w:t>
      </w:r>
      <w:r w:rsidR="006E4360" w:rsidRPr="00E726C7">
        <w:rPr>
          <w:rFonts w:cs="Times New Roman"/>
        </w:rPr>
        <w:t>.</w:t>
      </w:r>
      <w:r w:rsidRPr="00E726C7">
        <w:rPr>
          <w:rFonts w:cs="Times New Roman"/>
        </w:rPr>
        <w:t xml:space="preserve"> It discriminates university students with or without psychosocial problems and it can predict psychological distress.</w:t>
      </w:r>
      <w:r w:rsidR="00B3379F" w:rsidRPr="00E726C7">
        <w:rPr>
          <w:rFonts w:cs="Times New Roman"/>
        </w:rPr>
        <w:t xml:space="preserve"> The scale can be applied for research purp</w:t>
      </w:r>
      <w:r w:rsidR="00BE7773" w:rsidRPr="00E726C7">
        <w:rPr>
          <w:rFonts w:cs="Times New Roman"/>
        </w:rPr>
        <w:t>oses and for clinical evaluation</w:t>
      </w:r>
      <w:r w:rsidR="00A36F1E" w:rsidRPr="00E726C7">
        <w:rPr>
          <w:rFonts w:cs="Times New Roman"/>
        </w:rPr>
        <w:t>.</w:t>
      </w:r>
      <w:r w:rsidR="00087103" w:rsidRPr="00E726C7">
        <w:rPr>
          <w:rFonts w:cs="Times New Roman"/>
        </w:rPr>
        <w:t xml:space="preserve"> The scale development was premised on a rational-empirical approach utilizing two theories/models. Namely</w:t>
      </w:r>
      <w:r w:rsidR="00051EAF" w:rsidRPr="00E726C7">
        <w:rPr>
          <w:rFonts w:cs="Times New Roman"/>
        </w:rPr>
        <w:t>,</w:t>
      </w:r>
      <w:r w:rsidR="00087103" w:rsidRPr="00E726C7">
        <w:rPr>
          <w:rFonts w:cs="Times New Roman"/>
        </w:rPr>
        <w:t xml:space="preserve"> the Vulnerability-Experience-Manifestation-Prevalence model (Chun, Eastman, Sue, &amp; Wang, 1998) to build a grounded theory for the instrument-items generation that could depict those personal and environmental factors and experiences of psychosocial problems among the students.  And the Item Response Theory, specifically</w:t>
      </w:r>
      <w:r w:rsidR="00E5210B" w:rsidRPr="00E726C7">
        <w:rPr>
          <w:rFonts w:cs="Times New Roman"/>
        </w:rPr>
        <w:t xml:space="preserve">, the derivative </w:t>
      </w:r>
      <w:r w:rsidR="00087103" w:rsidRPr="00E726C7">
        <w:rPr>
          <w:rFonts w:cs="Times New Roman"/>
        </w:rPr>
        <w:t>Structural Equation Modeling (SEM), a statistical multivariate analysis technique (Crockett, 2012)</w:t>
      </w:r>
      <w:r w:rsidR="00087103" w:rsidRPr="00E726C7">
        <w:rPr>
          <w:rFonts w:cs="Times New Roman"/>
          <w:b/>
        </w:rPr>
        <w:t xml:space="preserve"> </w:t>
      </w:r>
      <w:r w:rsidR="00087103" w:rsidRPr="00E726C7">
        <w:rPr>
          <w:rFonts w:cs="Times New Roman"/>
        </w:rPr>
        <w:t xml:space="preserve">used toward creating a psychometrically sound </w:t>
      </w:r>
      <w:r w:rsidR="00087103" w:rsidRPr="007632E2">
        <w:rPr>
          <w:rFonts w:cs="Times New Roman"/>
        </w:rPr>
        <w:t>instrument focused on the unique contextual environment of university students in a developing world</w:t>
      </w:r>
      <w:r w:rsidR="00051EAF" w:rsidRPr="007632E2">
        <w:rPr>
          <w:rFonts w:cs="Times New Roman"/>
        </w:rPr>
        <w:t>.</w:t>
      </w:r>
      <w:r w:rsidR="00087103" w:rsidRPr="007632E2">
        <w:rPr>
          <w:rFonts w:cs="Times New Roman"/>
        </w:rPr>
        <w:t xml:space="preserve"> </w:t>
      </w:r>
      <w:r w:rsidR="00E42123" w:rsidRPr="007632E2">
        <w:rPr>
          <w:rFonts w:eastAsia="PMingLiU" w:cs="Times New Roman"/>
          <w:kern w:val="2"/>
          <w:lang w:eastAsia="zh-TW" w:bidi="en-US"/>
        </w:rPr>
        <w:t>Experts in instrument development look at SEM as a ‘must’ for social scientists when designing new instruments and validating existing ones (Hooper, Coughlan, &amp; Mullen, 2008).</w:t>
      </w:r>
      <w:r w:rsidR="00E42123" w:rsidRPr="00E726C7">
        <w:rPr>
          <w:rFonts w:eastAsia="PMingLiU" w:cs="Times New Roman"/>
          <w:kern w:val="2"/>
          <w:sz w:val="24"/>
          <w:szCs w:val="24"/>
          <w:lang w:eastAsia="zh-TW" w:bidi="en-US"/>
        </w:rPr>
        <w:t xml:space="preserve">  </w:t>
      </w:r>
    </w:p>
    <w:p w:rsidR="009903D0" w:rsidRPr="00E726C7" w:rsidRDefault="009903D0">
      <w:pPr>
        <w:rPr>
          <w:rFonts w:cs="Times New Roman"/>
          <w:b/>
        </w:rPr>
      </w:pPr>
      <w:r w:rsidRPr="00E726C7">
        <w:rPr>
          <w:rFonts w:cs="Times New Roman"/>
          <w:b/>
        </w:rPr>
        <w:t>Copyright material</w:t>
      </w:r>
      <w:bookmarkStart w:id="0" w:name="_GoBack"/>
      <w:bookmarkEnd w:id="0"/>
    </w:p>
    <w:p w:rsidR="009250B5" w:rsidRPr="00E726C7" w:rsidRDefault="009250B5" w:rsidP="009250B5">
      <w:pPr>
        <w:rPr>
          <w:rFonts w:cs="Times New Roman"/>
        </w:rPr>
      </w:pPr>
      <w:r w:rsidRPr="00E726C7">
        <w:rPr>
          <w:rFonts w:cs="Times New Roman"/>
        </w:rPr>
        <w:t>The University Students Evaluation of Psychosocial Problems (USEPP) scale was developed and validated at Nkumba University-Uganda</w:t>
      </w:r>
      <w:r w:rsidR="00311484" w:rsidRPr="00E726C7">
        <w:rPr>
          <w:rFonts w:cs="Times New Roman"/>
        </w:rPr>
        <w:t xml:space="preserve">  for a </w:t>
      </w:r>
      <w:r w:rsidRPr="00E726C7">
        <w:rPr>
          <w:rFonts w:cs="Times New Roman"/>
        </w:rPr>
        <w:t xml:space="preserve">PhD study by Dr. Norman David Nsereko and published in 2014 (Nsereko,  </w:t>
      </w:r>
      <w:proofErr w:type="spellStart"/>
      <w:r w:rsidRPr="00E726C7">
        <w:rPr>
          <w:rFonts w:cs="Times New Roman"/>
        </w:rPr>
        <w:t>Musisi</w:t>
      </w:r>
      <w:proofErr w:type="spellEnd"/>
      <w:r w:rsidRPr="00E726C7">
        <w:rPr>
          <w:rFonts w:cs="Times New Roman"/>
        </w:rPr>
        <w:t xml:space="preserve">, &amp; </w:t>
      </w:r>
      <w:proofErr w:type="spellStart"/>
      <w:r w:rsidRPr="00E726C7">
        <w:rPr>
          <w:rFonts w:cs="Times New Roman"/>
        </w:rPr>
        <w:t>Holtzman</w:t>
      </w:r>
      <w:proofErr w:type="spellEnd"/>
      <w:r w:rsidRPr="00E726C7">
        <w:rPr>
          <w:rFonts w:cs="Times New Roman"/>
        </w:rPr>
        <w:t xml:space="preserve">, 2014).  It was registered as a literary work No.80/2015 at Uganda Registration Services Bureau in Uganda under the name Norman David Nsereko in accordance with section 43(6) of the Copyright and </w:t>
      </w:r>
      <w:proofErr w:type="spellStart"/>
      <w:r w:rsidRPr="00E726C7">
        <w:rPr>
          <w:rFonts w:cs="Times New Roman"/>
        </w:rPr>
        <w:t>Neighbouring</w:t>
      </w:r>
      <w:proofErr w:type="spellEnd"/>
      <w:r w:rsidRPr="00E726C7">
        <w:rPr>
          <w:rFonts w:cs="Times New Roman"/>
        </w:rPr>
        <w:t xml:space="preserve"> Rights Act, 2006, effective from 28</w:t>
      </w:r>
      <w:r w:rsidRPr="00E726C7">
        <w:rPr>
          <w:rFonts w:cs="Times New Roman"/>
          <w:vertAlign w:val="superscript"/>
        </w:rPr>
        <w:t>th</w:t>
      </w:r>
      <w:r w:rsidRPr="00E726C7">
        <w:rPr>
          <w:rFonts w:cs="Times New Roman"/>
        </w:rPr>
        <w:t xml:space="preserve"> September 2017.</w:t>
      </w:r>
    </w:p>
    <w:p w:rsidR="00B3379F" w:rsidRPr="00E726C7" w:rsidRDefault="009903D0" w:rsidP="00B3379F">
      <w:pPr>
        <w:rPr>
          <w:rFonts w:cs="Times New Roman"/>
          <w:b/>
        </w:rPr>
      </w:pPr>
      <w:r w:rsidRPr="00E726C7">
        <w:rPr>
          <w:rFonts w:cs="Times New Roman"/>
          <w:b/>
        </w:rPr>
        <w:t>Psychometric properties</w:t>
      </w:r>
    </w:p>
    <w:p w:rsidR="00B3379F" w:rsidRPr="00E726C7" w:rsidRDefault="00B3379F" w:rsidP="000950A2">
      <w:pPr>
        <w:rPr>
          <w:rFonts w:eastAsia="Times New Roman" w:cs="Times New Roman"/>
          <w:color w:val="000000" w:themeColor="text1"/>
        </w:rPr>
      </w:pPr>
      <w:r w:rsidRPr="00E726C7">
        <w:rPr>
          <w:rFonts w:cs="Times New Roman"/>
          <w:color w:val="000000" w:themeColor="text1"/>
        </w:rPr>
        <w:t>The psychometric properties of USEPP namely, the scale structure, reliability and validity were demonstrated by two studies of diverse respondents</w:t>
      </w:r>
      <w:r w:rsidR="00971815" w:rsidRPr="00E726C7">
        <w:rPr>
          <w:rFonts w:cs="Times New Roman"/>
          <w:color w:val="000000" w:themeColor="text1"/>
        </w:rPr>
        <w:t xml:space="preserve"> using both exploratory factor analysis and confirmatory factor analysis</w:t>
      </w:r>
      <w:r w:rsidRPr="00E726C7">
        <w:rPr>
          <w:rFonts w:cs="Times New Roman"/>
          <w:color w:val="000000" w:themeColor="text1"/>
        </w:rPr>
        <w:t>.</w:t>
      </w:r>
      <w:r w:rsidR="000950A2" w:rsidRPr="00E726C7">
        <w:rPr>
          <w:rFonts w:cs="Times New Roman"/>
          <w:color w:val="000000" w:themeColor="text1"/>
        </w:rPr>
        <w:t xml:space="preserve"> </w:t>
      </w:r>
      <w:r w:rsidRPr="00E726C7">
        <w:rPr>
          <w:rFonts w:eastAsia="Times New Roman" w:cs="Times New Roman"/>
          <w:bCs/>
          <w:color w:val="000000" w:themeColor="text1"/>
          <w:lang w:bidi="en-US"/>
        </w:rPr>
        <w:t>The scale</w:t>
      </w:r>
      <w:r w:rsidR="00F36E43" w:rsidRPr="00E726C7">
        <w:rPr>
          <w:rFonts w:eastAsia="Times New Roman" w:cs="Times New Roman"/>
          <w:bCs/>
          <w:color w:val="000000" w:themeColor="text1"/>
          <w:lang w:bidi="en-US"/>
        </w:rPr>
        <w:t xml:space="preserve"> has 17 items under four subscales that measure emotional, antisocial, academic problems and traumatic experiences as predictors of psychosocial problems among university students. </w:t>
      </w:r>
      <w:r w:rsidR="00F36E43" w:rsidRPr="00E726C7">
        <w:rPr>
          <w:rFonts w:eastAsia="Times New Roman" w:cs="Times New Roman"/>
          <w:color w:val="000000" w:themeColor="text1"/>
        </w:rPr>
        <w:t xml:space="preserve">Each item is rated on a scale from 0 (not at all) to 3 (strongly agree). </w:t>
      </w:r>
      <w:proofErr w:type="spellStart"/>
      <w:r w:rsidRPr="00E726C7">
        <w:rPr>
          <w:rFonts w:eastAsia="Times New Roman" w:cs="Times New Roman"/>
          <w:color w:val="000000" w:themeColor="text1"/>
        </w:rPr>
        <w:t>Cronbach’s</w:t>
      </w:r>
      <w:proofErr w:type="spellEnd"/>
      <w:r w:rsidRPr="00E726C7">
        <w:rPr>
          <w:rFonts w:eastAsia="Times New Roman" w:cs="Times New Roman"/>
          <w:color w:val="000000" w:themeColor="text1"/>
        </w:rPr>
        <w:t xml:space="preserve"> alpha coefficients for the USEPP total scale</w:t>
      </w:r>
      <w:r w:rsidR="00CB2ADA" w:rsidRPr="00E726C7">
        <w:rPr>
          <w:rFonts w:eastAsia="Times New Roman" w:cs="Times New Roman"/>
          <w:color w:val="000000" w:themeColor="text1"/>
        </w:rPr>
        <w:t xml:space="preserve"> (Reliability)</w:t>
      </w:r>
      <w:r w:rsidRPr="00E726C7">
        <w:rPr>
          <w:rFonts w:eastAsia="Times New Roman" w:cs="Times New Roman"/>
          <w:color w:val="000000" w:themeColor="text1"/>
        </w:rPr>
        <w:t xml:space="preserve"> is (0.81) and the four subscales: Emotional Problems (0.70); Antisocial Behavior (0.73); Traumatic Experiences (0.60) and Academic problems (0.63).</w:t>
      </w:r>
      <w:r w:rsidR="00A80F56" w:rsidRPr="00E726C7">
        <w:rPr>
          <w:rFonts w:eastAsia="Times New Roman" w:cs="Times New Roman"/>
          <w:color w:val="000000" w:themeColor="text1"/>
        </w:rPr>
        <w:t xml:space="preserve"> </w:t>
      </w:r>
      <w:r w:rsidR="00CB2ADA" w:rsidRPr="00E726C7">
        <w:rPr>
          <w:rFonts w:eastAsia="Times New Roman" w:cs="Times New Roman"/>
          <w:color w:val="000000" w:themeColor="text1"/>
        </w:rPr>
        <w:t xml:space="preserve"> The instrument </w:t>
      </w:r>
      <w:r w:rsidR="00A80F56" w:rsidRPr="00E726C7">
        <w:rPr>
          <w:rFonts w:eastAsia="Times New Roman" w:cs="Times New Roman"/>
          <w:color w:val="000000" w:themeColor="text1"/>
        </w:rPr>
        <w:t xml:space="preserve">was validated by </w:t>
      </w:r>
      <w:r w:rsidR="00DD21D1" w:rsidRPr="00E726C7">
        <w:rPr>
          <w:rFonts w:eastAsia="Times New Roman" w:cs="Times New Roman"/>
          <w:color w:val="000000" w:themeColor="text1"/>
        </w:rPr>
        <w:t>t</w:t>
      </w:r>
      <w:r w:rsidR="00A80F56" w:rsidRPr="00E726C7">
        <w:rPr>
          <w:rFonts w:eastAsia="Times New Roman" w:cs="Times New Roman"/>
          <w:color w:val="000000" w:themeColor="text1"/>
        </w:rPr>
        <w:t xml:space="preserve">he Hopkins Symptoms Checklist (HSCL-10) as </w:t>
      </w:r>
      <w:r w:rsidR="00DD21D1" w:rsidRPr="00E726C7">
        <w:rPr>
          <w:rFonts w:eastAsia="Times New Roman" w:cs="Times New Roman"/>
          <w:color w:val="000000" w:themeColor="text1"/>
        </w:rPr>
        <w:t xml:space="preserve">a </w:t>
      </w:r>
      <w:r w:rsidR="00A80F56" w:rsidRPr="00E726C7">
        <w:rPr>
          <w:rFonts w:eastAsia="Times New Roman" w:cs="Times New Roman"/>
          <w:color w:val="000000" w:themeColor="text1"/>
        </w:rPr>
        <w:t>gold standard</w:t>
      </w:r>
      <w:r w:rsidR="00CB2ADA" w:rsidRPr="00E726C7">
        <w:rPr>
          <w:rFonts w:eastAsia="Times New Roman" w:cs="Times New Roman"/>
          <w:color w:val="000000" w:themeColor="text1"/>
        </w:rPr>
        <w:t xml:space="preserve"> to establish its construct validity</w:t>
      </w:r>
      <w:r w:rsidR="00A80F56" w:rsidRPr="00E726C7">
        <w:rPr>
          <w:rFonts w:eastAsia="Times New Roman" w:cs="Times New Roman"/>
          <w:color w:val="000000" w:themeColor="text1"/>
        </w:rPr>
        <w:t xml:space="preserve"> and by the Receiver Operating Characteristics (ROC) curve</w:t>
      </w:r>
      <w:r w:rsidR="00CB2ADA" w:rsidRPr="00E726C7">
        <w:rPr>
          <w:rFonts w:eastAsia="Times New Roman" w:cs="Times New Roman"/>
          <w:color w:val="000000" w:themeColor="text1"/>
        </w:rPr>
        <w:t xml:space="preserve"> for its predictive validity.</w:t>
      </w:r>
    </w:p>
    <w:p w:rsidR="00311484" w:rsidRPr="00E726C7" w:rsidRDefault="00311484" w:rsidP="000950A2">
      <w:pPr>
        <w:rPr>
          <w:rFonts w:eastAsia="Times New Roman" w:cs="Times New Roman"/>
          <w:b/>
          <w:color w:val="000000" w:themeColor="text1"/>
        </w:rPr>
      </w:pPr>
      <w:r w:rsidRPr="00E726C7">
        <w:rPr>
          <w:rFonts w:eastAsia="Times New Roman" w:cs="Times New Roman"/>
          <w:b/>
          <w:color w:val="000000" w:themeColor="text1"/>
        </w:rPr>
        <w:t>Scale administration</w:t>
      </w:r>
    </w:p>
    <w:p w:rsidR="00B3379F" w:rsidRPr="00E726C7" w:rsidRDefault="00B3379F" w:rsidP="00B3379F">
      <w:pPr>
        <w:rPr>
          <w:rFonts w:eastAsia="Times New Roman" w:cs="Times New Roman"/>
          <w:color w:val="000000" w:themeColor="text1"/>
        </w:rPr>
      </w:pPr>
      <w:r w:rsidRPr="00E726C7">
        <w:rPr>
          <w:rFonts w:eastAsia="Times New Roman" w:cs="Times New Roman"/>
          <w:color w:val="000000" w:themeColor="text1"/>
        </w:rPr>
        <w:t>The scale takes between five to ten minutes to score. The instrument can be used by trained mental health workers such as university counsellors, clinical psychologists, psychiatrists, social workers, psychologists etc. at university counselling centers and health facilities.  Private mental health practitioners and researchers etc. can apply the instrument</w:t>
      </w:r>
      <w:r w:rsidR="001E2388" w:rsidRPr="00E726C7">
        <w:rPr>
          <w:rFonts w:eastAsia="Times New Roman" w:cs="Times New Roman"/>
          <w:color w:val="000000" w:themeColor="text1"/>
        </w:rPr>
        <w:t xml:space="preserve"> (Nsereko, 2015)</w:t>
      </w:r>
      <w:r w:rsidRPr="00E726C7">
        <w:rPr>
          <w:rFonts w:eastAsia="Times New Roman" w:cs="Times New Roman"/>
          <w:color w:val="000000" w:themeColor="text1"/>
        </w:rPr>
        <w:t>.</w:t>
      </w:r>
      <w:r w:rsidR="009443FB" w:rsidRPr="00E726C7">
        <w:rPr>
          <w:rFonts w:eastAsia="Times New Roman" w:cs="Times New Roman"/>
          <w:color w:val="000000" w:themeColor="text1"/>
        </w:rPr>
        <w:t xml:space="preserve"> It is recommended for use as a campus routine assessment activity of university students’ psychosocial functioning.</w:t>
      </w:r>
    </w:p>
    <w:p w:rsidR="00F36E43" w:rsidRPr="00E726C7" w:rsidRDefault="00B3379F" w:rsidP="00B3379F">
      <w:pPr>
        <w:rPr>
          <w:rFonts w:eastAsia="Times New Roman" w:cs="Times New Roman"/>
          <w:color w:val="000000" w:themeColor="text1"/>
        </w:rPr>
      </w:pPr>
      <w:r w:rsidRPr="00E726C7">
        <w:rPr>
          <w:rFonts w:eastAsia="Times New Roman" w:cs="Times New Roman"/>
          <w:color w:val="000000" w:themeColor="text1"/>
        </w:rPr>
        <w:lastRenderedPageBreak/>
        <w:t>The use of the instrument in other settings outside the developing world will enable its properties to be better understood and its generalizability to wider groups to be clearer.</w:t>
      </w:r>
    </w:p>
    <w:p w:rsidR="009250B5" w:rsidRPr="00E726C7" w:rsidRDefault="009250B5" w:rsidP="00B3379F">
      <w:pPr>
        <w:rPr>
          <w:rFonts w:eastAsia="Times New Roman" w:cs="Times New Roman"/>
          <w:b/>
          <w:color w:val="000000" w:themeColor="text1"/>
        </w:rPr>
      </w:pPr>
      <w:r w:rsidRPr="00E726C7">
        <w:rPr>
          <w:rFonts w:eastAsia="Times New Roman" w:cs="Times New Roman"/>
          <w:b/>
          <w:color w:val="000000" w:themeColor="text1"/>
        </w:rPr>
        <w:t>Permission to use the scale</w:t>
      </w:r>
    </w:p>
    <w:p w:rsidR="009250B5" w:rsidRPr="00E726C7" w:rsidRDefault="009903D0" w:rsidP="00B3379F">
      <w:pPr>
        <w:rPr>
          <w:rFonts w:eastAsia="Times New Roman" w:cs="Times New Roman"/>
          <w:color w:val="000000" w:themeColor="text1"/>
        </w:rPr>
      </w:pPr>
      <w:r w:rsidRPr="00E726C7">
        <w:rPr>
          <w:rFonts w:eastAsia="Times New Roman" w:cs="Times New Roman"/>
          <w:color w:val="000000" w:themeColor="text1"/>
        </w:rPr>
        <w:t xml:space="preserve">Currently the scale is entirely in manual form. </w:t>
      </w:r>
      <w:r w:rsidR="009250B5" w:rsidRPr="00E726C7">
        <w:rPr>
          <w:rFonts w:eastAsia="Times New Roman" w:cs="Times New Roman"/>
          <w:color w:val="000000" w:themeColor="text1"/>
        </w:rPr>
        <w:t>Permission to use the scale can be obtained from the author on email address nnsereko@nkumbauniverity.ac.ug who will provide its</w:t>
      </w:r>
      <w:r w:rsidRPr="00E726C7">
        <w:rPr>
          <w:rFonts w:eastAsia="Times New Roman" w:cs="Times New Roman"/>
          <w:color w:val="000000" w:themeColor="text1"/>
        </w:rPr>
        <w:t xml:space="preserve"> user</w:t>
      </w:r>
      <w:r w:rsidR="009250B5" w:rsidRPr="00E726C7">
        <w:rPr>
          <w:rFonts w:eastAsia="Times New Roman" w:cs="Times New Roman"/>
          <w:color w:val="000000" w:themeColor="text1"/>
        </w:rPr>
        <w:t xml:space="preserve"> manual. </w:t>
      </w:r>
      <w:r w:rsidRPr="00E726C7">
        <w:rPr>
          <w:rFonts w:eastAsia="Times New Roman" w:cs="Times New Roman"/>
          <w:color w:val="000000" w:themeColor="text1"/>
        </w:rPr>
        <w:t xml:space="preserve">A fee is levied on the use of the scale. </w:t>
      </w:r>
      <w:r w:rsidR="009250B5" w:rsidRPr="00E726C7">
        <w:rPr>
          <w:rFonts w:eastAsia="Times New Roman" w:cs="Times New Roman"/>
          <w:color w:val="000000" w:themeColor="text1"/>
        </w:rPr>
        <w:t>Efforts are being made to generate a computer/net version of the scale.</w:t>
      </w:r>
    </w:p>
    <w:p w:rsidR="00A730DE" w:rsidRPr="00E726C7" w:rsidRDefault="00A730DE" w:rsidP="00B3379F">
      <w:pPr>
        <w:rPr>
          <w:rFonts w:eastAsia="Times New Roman" w:cs="Times New Roman"/>
          <w:b/>
          <w:color w:val="000000" w:themeColor="text1"/>
          <w:sz w:val="24"/>
          <w:szCs w:val="24"/>
        </w:rPr>
      </w:pPr>
      <w:r w:rsidRPr="00E726C7">
        <w:rPr>
          <w:rFonts w:eastAsia="Times New Roman" w:cs="Times New Roman"/>
          <w:b/>
          <w:color w:val="000000" w:themeColor="text1"/>
          <w:sz w:val="24"/>
          <w:szCs w:val="24"/>
        </w:rPr>
        <w:t>The full scale:</w:t>
      </w:r>
    </w:p>
    <w:p w:rsidR="00A730DE" w:rsidRPr="00E726C7" w:rsidRDefault="00A730DE" w:rsidP="00A730DE">
      <w:pPr>
        <w:spacing w:after="0" w:line="360" w:lineRule="auto"/>
        <w:rPr>
          <w:rFonts w:cs="Times New Roman"/>
          <w:sz w:val="20"/>
          <w:szCs w:val="20"/>
        </w:rPr>
      </w:pPr>
    </w:p>
    <w:p w:rsidR="00A730DE" w:rsidRPr="00E726C7" w:rsidRDefault="00A730DE" w:rsidP="00A730DE">
      <w:pPr>
        <w:spacing w:after="120" w:line="240" w:lineRule="auto"/>
        <w:rPr>
          <w:rFonts w:cs="Times New Roman"/>
          <w:b/>
          <w:bCs/>
          <w:color w:val="000000" w:themeColor="text1"/>
          <w:sz w:val="20"/>
          <w:szCs w:val="20"/>
          <w:lang w:val="en-GB"/>
        </w:rPr>
      </w:pPr>
      <w:r w:rsidRPr="00E726C7">
        <w:rPr>
          <w:rFonts w:cs="Times New Roman"/>
          <w:b/>
          <w:bCs/>
          <w:color w:val="000000" w:themeColor="text1"/>
          <w:sz w:val="20"/>
          <w:szCs w:val="20"/>
          <w:lang w:val="en-GB"/>
        </w:rPr>
        <w:t>UNIVERSITY STUDENTS EVALUATION OF PSYCHOSOCIAL PROBLEMS (USEPP</w:t>
      </w:r>
      <w:proofErr w:type="gramStart"/>
      <w:r w:rsidRPr="00E726C7">
        <w:rPr>
          <w:rFonts w:cs="Times New Roman"/>
          <w:b/>
          <w:bCs/>
          <w:color w:val="000000" w:themeColor="text1"/>
          <w:sz w:val="20"/>
          <w:szCs w:val="20"/>
          <w:lang w:val="en-GB"/>
        </w:rPr>
        <w:t>)</w:t>
      </w:r>
      <w:r w:rsidR="006A183B">
        <w:rPr>
          <w:rFonts w:cs="Times New Roman"/>
          <w:b/>
          <w:bCs/>
          <w:color w:val="000000" w:themeColor="text1"/>
          <w:sz w:val="20"/>
          <w:szCs w:val="20"/>
          <w:lang w:val="en-GB"/>
        </w:rPr>
        <w:t>©</w:t>
      </w:r>
      <w:proofErr w:type="gramEnd"/>
    </w:p>
    <w:p w:rsidR="00A730DE" w:rsidRPr="00E726C7" w:rsidRDefault="00A730DE" w:rsidP="00A730DE">
      <w:pPr>
        <w:spacing w:after="120" w:line="240" w:lineRule="auto"/>
        <w:rPr>
          <w:rFonts w:cs="Times New Roman"/>
          <w:b/>
          <w:bCs/>
          <w:color w:val="000000" w:themeColor="text1"/>
          <w:sz w:val="20"/>
          <w:szCs w:val="20"/>
          <w:lang w:val="en-GB"/>
        </w:rPr>
      </w:pPr>
    </w:p>
    <w:p w:rsidR="00A730DE" w:rsidRPr="00E726C7" w:rsidRDefault="00A730DE" w:rsidP="00A730DE">
      <w:pPr>
        <w:spacing w:after="120" w:line="240" w:lineRule="auto"/>
        <w:rPr>
          <w:rFonts w:cs="Times New Roman"/>
          <w:b/>
          <w:bCs/>
          <w:color w:val="000000" w:themeColor="text1"/>
          <w:sz w:val="20"/>
          <w:szCs w:val="20"/>
          <w:lang w:val="en-GB"/>
        </w:rPr>
      </w:pPr>
      <w:r w:rsidRPr="00E726C7">
        <w:rPr>
          <w:rFonts w:cs="Times New Roman"/>
          <w:b/>
          <w:bCs/>
          <w:color w:val="000000" w:themeColor="text1"/>
          <w:sz w:val="20"/>
          <w:szCs w:val="20"/>
          <w:lang w:val="en-GB"/>
        </w:rPr>
        <w:t xml:space="preserve">You are asked to go through the issues/concerns listed below. Indicate your level of agreement with those that are current concerns for you by circling the number on your right from the following options:  </w:t>
      </w:r>
    </w:p>
    <w:p w:rsidR="00A730DE" w:rsidRPr="00E726C7" w:rsidRDefault="00A730DE" w:rsidP="00A730DE">
      <w:pPr>
        <w:spacing w:after="120" w:line="240" w:lineRule="auto"/>
        <w:rPr>
          <w:rFonts w:cs="Times New Roman"/>
          <w:bCs/>
          <w:color w:val="000000" w:themeColor="text1"/>
          <w:sz w:val="20"/>
          <w:szCs w:val="20"/>
          <w:lang w:val="en-GB"/>
        </w:rPr>
      </w:pPr>
      <w:r w:rsidRPr="00E726C7">
        <w:rPr>
          <w:rFonts w:cs="Times New Roman"/>
          <w:bCs/>
          <w:color w:val="000000" w:themeColor="text1"/>
          <w:sz w:val="20"/>
          <w:szCs w:val="20"/>
          <w:lang w:val="en-GB"/>
        </w:rPr>
        <w:t xml:space="preserve">Not at all = 0     Somewhat Agree = 1             Agree = 2              </w:t>
      </w:r>
      <w:proofErr w:type="gramStart"/>
      <w:r w:rsidRPr="00E726C7">
        <w:rPr>
          <w:rFonts w:cs="Times New Roman"/>
          <w:bCs/>
          <w:color w:val="000000" w:themeColor="text1"/>
          <w:sz w:val="20"/>
          <w:szCs w:val="20"/>
          <w:lang w:val="en-GB"/>
        </w:rPr>
        <w:t>Strongly</w:t>
      </w:r>
      <w:proofErr w:type="gramEnd"/>
      <w:r w:rsidRPr="00E726C7">
        <w:rPr>
          <w:rFonts w:cs="Times New Roman"/>
          <w:bCs/>
          <w:color w:val="000000" w:themeColor="text1"/>
          <w:sz w:val="20"/>
          <w:szCs w:val="20"/>
          <w:lang w:val="en-GB"/>
        </w:rPr>
        <w:t xml:space="preserve"> Agree = 3  </w:t>
      </w:r>
    </w:p>
    <w:p w:rsidR="00A730DE" w:rsidRPr="00E726C7" w:rsidRDefault="00A730DE" w:rsidP="00A730DE">
      <w:pPr>
        <w:spacing w:after="120" w:line="240" w:lineRule="auto"/>
        <w:rPr>
          <w:rFonts w:cs="Times New Roman"/>
          <w:bCs/>
          <w:color w:val="000000" w:themeColor="text1"/>
          <w:sz w:val="20"/>
          <w:szCs w:val="20"/>
          <w:lang w:val="en-GB"/>
        </w:rPr>
      </w:pPr>
    </w:p>
    <w:p w:rsidR="00A730DE" w:rsidRPr="00E726C7" w:rsidRDefault="00A730DE" w:rsidP="00A730DE">
      <w:pPr>
        <w:spacing w:after="120" w:line="240" w:lineRule="auto"/>
        <w:rPr>
          <w:rFonts w:cs="Times New Roman"/>
          <w:color w:val="000000" w:themeColor="text1"/>
          <w:sz w:val="20"/>
          <w:szCs w:val="20"/>
          <w:lang w:val="en-GB"/>
        </w:rPr>
      </w:pPr>
      <w:r w:rsidRPr="00E726C7">
        <w:rPr>
          <w:rFonts w:cs="Times New Roman"/>
          <w:bCs/>
          <w:color w:val="000000" w:themeColor="text1"/>
          <w:sz w:val="20"/>
          <w:szCs w:val="20"/>
          <w:lang w:val="en-GB"/>
        </w:rPr>
        <w:t>Circle one response for each item and do not leave any blank</w:t>
      </w:r>
    </w:p>
    <w:tbl>
      <w:tblPr>
        <w:tblStyle w:val="PlainTable11"/>
        <w:tblW w:w="0" w:type="auto"/>
        <w:tblLook w:val="04A0" w:firstRow="1" w:lastRow="0" w:firstColumn="1" w:lastColumn="0" w:noHBand="0" w:noVBand="1"/>
      </w:tblPr>
      <w:tblGrid>
        <w:gridCol w:w="7098"/>
        <w:gridCol w:w="358"/>
        <w:gridCol w:w="441"/>
        <w:gridCol w:w="358"/>
        <w:gridCol w:w="375"/>
      </w:tblGrid>
      <w:tr w:rsidR="00A730DE" w:rsidRPr="00E726C7" w:rsidTr="000D11F0">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spacing w:after="120"/>
              <w:rPr>
                <w:rFonts w:cs="Times New Roman"/>
                <w:color w:val="000000" w:themeColor="text1"/>
                <w:sz w:val="20"/>
                <w:szCs w:val="20"/>
                <w:lang w:val="en-GB"/>
              </w:rPr>
            </w:pPr>
            <w:r w:rsidRPr="00E726C7">
              <w:rPr>
                <w:rFonts w:cs="Times New Roman"/>
                <w:color w:val="000000" w:themeColor="text1"/>
                <w:sz w:val="20"/>
                <w:szCs w:val="20"/>
                <w:lang w:val="en-GB"/>
              </w:rPr>
              <w:t>Issues/concerns experienced and are current concerns for me</w:t>
            </w:r>
          </w:p>
        </w:tc>
        <w:tc>
          <w:tcPr>
            <w:tcW w:w="1532" w:type="dxa"/>
            <w:gridSpan w:val="4"/>
          </w:tcPr>
          <w:p w:rsidR="00A730DE" w:rsidRPr="00E726C7" w:rsidRDefault="00A730DE" w:rsidP="000D11F0">
            <w:pPr>
              <w:spacing w:after="120"/>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lang w:val="en-GB"/>
              </w:rPr>
            </w:pP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Feeling stressed, being in low mood</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Unpredictable/Insecure tuition fees status</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I am involved in </w:t>
            </w:r>
            <w:proofErr w:type="spellStart"/>
            <w:r w:rsidRPr="00E726C7">
              <w:rPr>
                <w:rFonts w:cs="Times New Roman"/>
                <w:color w:val="000000" w:themeColor="text1"/>
                <w:sz w:val="20"/>
                <w:szCs w:val="20"/>
                <w:lang w:bidi="en-US"/>
              </w:rPr>
              <w:t>behaviours</w:t>
            </w:r>
            <w:proofErr w:type="spellEnd"/>
            <w:r w:rsidRPr="00E726C7">
              <w:rPr>
                <w:rFonts w:cs="Times New Roman"/>
                <w:color w:val="000000" w:themeColor="text1"/>
                <w:sz w:val="20"/>
                <w:szCs w:val="20"/>
                <w:lang w:bidi="en-US"/>
              </w:rPr>
              <w:t xml:space="preserve"> I should be ashamed of if they became public</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am not able to concentrate on my studies as I would have liked</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Experiences of irrational fears/phobia</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Often lacking welfare/pocket money for personal use </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am involved in one way or the other in academic  mal practice</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Low academic grades</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Sometimes experiencing wishes of being dead</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Adjustment problems in my new environment i.e. hostel, campus life </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take sexual advantage of others</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Inadequate study skills to meet university academic demands </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have problems of concentrating in life generally</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My family is experiencing problems to which I am of great concern </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engage in gambling/betting for financial gain</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I sometimes find it difficult to sleep or I sleep too much</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r w:rsidR="00A730DE" w:rsidRPr="00E726C7" w:rsidTr="000D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8" w:type="dxa"/>
          </w:tcPr>
          <w:p w:rsidR="00A730DE" w:rsidRPr="00E726C7" w:rsidRDefault="00A730DE" w:rsidP="000D11F0">
            <w:pPr>
              <w:numPr>
                <w:ilvl w:val="0"/>
                <w:numId w:val="1"/>
              </w:numPr>
              <w:spacing w:after="120"/>
              <w:rPr>
                <w:rFonts w:cs="Times New Roman"/>
                <w:color w:val="000000" w:themeColor="text1"/>
                <w:sz w:val="20"/>
                <w:szCs w:val="20"/>
                <w:lang w:bidi="en-US"/>
              </w:rPr>
            </w:pPr>
            <w:r w:rsidRPr="00E726C7">
              <w:rPr>
                <w:rFonts w:cs="Times New Roman"/>
                <w:color w:val="000000" w:themeColor="text1"/>
                <w:sz w:val="20"/>
                <w:szCs w:val="20"/>
                <w:lang w:bidi="en-US"/>
              </w:rPr>
              <w:t xml:space="preserve"> I indulge in uncontrolled drinking of alcohol</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0</w:t>
            </w:r>
          </w:p>
        </w:tc>
        <w:tc>
          <w:tcPr>
            <w:tcW w:w="441"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1</w:t>
            </w:r>
          </w:p>
        </w:tc>
        <w:tc>
          <w:tcPr>
            <w:tcW w:w="358"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2</w:t>
            </w:r>
          </w:p>
        </w:tc>
        <w:tc>
          <w:tcPr>
            <w:tcW w:w="375" w:type="dxa"/>
          </w:tcPr>
          <w:p w:rsidR="00A730DE" w:rsidRPr="00E726C7" w:rsidRDefault="00A730DE" w:rsidP="000D11F0">
            <w:pPr>
              <w:spacing w:after="120"/>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0"/>
                <w:szCs w:val="20"/>
                <w:lang w:val="en-GB"/>
              </w:rPr>
            </w:pPr>
            <w:r w:rsidRPr="00E726C7">
              <w:rPr>
                <w:rFonts w:cs="Times New Roman"/>
                <w:bCs/>
                <w:color w:val="000000" w:themeColor="text1"/>
                <w:sz w:val="20"/>
                <w:szCs w:val="20"/>
                <w:lang w:val="en-GB"/>
              </w:rPr>
              <w:t>3</w:t>
            </w:r>
          </w:p>
        </w:tc>
      </w:tr>
    </w:tbl>
    <w:p w:rsidR="00A730DE" w:rsidRPr="00E726C7" w:rsidRDefault="00A730DE" w:rsidP="00B3379F">
      <w:pPr>
        <w:rPr>
          <w:rFonts w:eastAsia="Times New Roman" w:cs="Times New Roman"/>
          <w:color w:val="000000" w:themeColor="text1"/>
          <w:sz w:val="20"/>
          <w:szCs w:val="20"/>
        </w:rPr>
      </w:pPr>
    </w:p>
    <w:p w:rsidR="005B7BCE" w:rsidRPr="00E726C7" w:rsidRDefault="005B7BCE" w:rsidP="001E2388">
      <w:pPr>
        <w:spacing w:afterLines="50" w:after="120" w:line="240" w:lineRule="auto"/>
        <w:ind w:left="360"/>
        <w:contextualSpacing/>
        <w:jc w:val="both"/>
        <w:rPr>
          <w:rFonts w:eastAsia="Calibri" w:cs="Times New Roman"/>
          <w:bCs/>
          <w:sz w:val="24"/>
          <w:szCs w:val="24"/>
        </w:rPr>
      </w:pPr>
    </w:p>
    <w:p w:rsidR="005B7BCE" w:rsidRDefault="005B7BCE" w:rsidP="00E726C7">
      <w:pPr>
        <w:spacing w:afterLines="50" w:after="120" w:line="240" w:lineRule="auto"/>
        <w:contextualSpacing/>
        <w:jc w:val="both"/>
        <w:rPr>
          <w:rFonts w:eastAsia="Calibri" w:cs="Times New Roman"/>
          <w:b/>
          <w:bCs/>
          <w:sz w:val="24"/>
          <w:szCs w:val="24"/>
        </w:rPr>
      </w:pPr>
      <w:r w:rsidRPr="00E726C7">
        <w:rPr>
          <w:rFonts w:eastAsia="Calibri" w:cs="Times New Roman"/>
          <w:b/>
          <w:bCs/>
          <w:sz w:val="24"/>
          <w:szCs w:val="24"/>
        </w:rPr>
        <w:lastRenderedPageBreak/>
        <w:t>References</w:t>
      </w:r>
    </w:p>
    <w:p w:rsidR="00E726C7" w:rsidRPr="00E726C7" w:rsidRDefault="00E726C7" w:rsidP="00E726C7">
      <w:pPr>
        <w:spacing w:afterLines="50" w:after="120" w:line="240" w:lineRule="auto"/>
        <w:contextualSpacing/>
        <w:jc w:val="both"/>
        <w:rPr>
          <w:rFonts w:eastAsia="Calibri" w:cs="Times New Roman"/>
          <w:b/>
          <w:bCs/>
          <w:sz w:val="24"/>
          <w:szCs w:val="24"/>
        </w:rPr>
      </w:pPr>
    </w:p>
    <w:p w:rsidR="00E726C7" w:rsidRDefault="005B7BCE" w:rsidP="00E42123">
      <w:pPr>
        <w:snapToGrid w:val="0"/>
        <w:spacing w:after="120" w:line="280" w:lineRule="exact"/>
        <w:ind w:left="720" w:hanging="720"/>
        <w:jc w:val="both"/>
        <w:rPr>
          <w:rFonts w:cs="Times New Roman"/>
          <w:sz w:val="24"/>
          <w:szCs w:val="24"/>
          <w:lang w:bidi="en-US"/>
        </w:rPr>
      </w:pPr>
      <w:r w:rsidRPr="00E726C7">
        <w:rPr>
          <w:rFonts w:cs="Times New Roman"/>
          <w:sz w:val="24"/>
          <w:szCs w:val="24"/>
          <w:lang w:bidi="en-US"/>
        </w:rPr>
        <w:t xml:space="preserve">Chun, K. M., Eastman, K. L., Wang, G. S. C., &amp; Sue, S. S. (1998). In C. Lee, W. Nolan, &amp; S. Zane (Eds.), </w:t>
      </w:r>
      <w:r w:rsidRPr="00E726C7">
        <w:rPr>
          <w:rFonts w:cs="Times New Roman"/>
          <w:i/>
          <w:sz w:val="24"/>
          <w:szCs w:val="24"/>
          <w:lang w:bidi="en-US"/>
        </w:rPr>
        <w:t xml:space="preserve">Handbook of Asian American Psychology </w:t>
      </w:r>
      <w:r w:rsidRPr="00E726C7">
        <w:rPr>
          <w:rFonts w:cs="Times New Roman"/>
          <w:sz w:val="24"/>
          <w:szCs w:val="24"/>
          <w:lang w:bidi="en-US"/>
        </w:rPr>
        <w:t>(pp. 457-483). Thousand Oaks, CA: Sage Publications.</w:t>
      </w:r>
      <w:r w:rsidR="00E726C7" w:rsidRPr="00E726C7">
        <w:rPr>
          <w:rFonts w:cs="Times New Roman"/>
          <w:sz w:val="24"/>
          <w:szCs w:val="24"/>
          <w:lang w:bidi="en-US"/>
        </w:rPr>
        <w:t xml:space="preserve"> </w:t>
      </w:r>
    </w:p>
    <w:p w:rsidR="00E42123" w:rsidRPr="00E726C7" w:rsidRDefault="00E726C7" w:rsidP="00E42123">
      <w:pPr>
        <w:snapToGrid w:val="0"/>
        <w:spacing w:after="120" w:line="280" w:lineRule="exact"/>
        <w:ind w:left="720" w:hanging="720"/>
        <w:jc w:val="both"/>
        <w:rPr>
          <w:rFonts w:cs="Times New Roman"/>
          <w:sz w:val="24"/>
          <w:szCs w:val="24"/>
          <w:lang w:bidi="en-US"/>
        </w:rPr>
      </w:pPr>
      <w:r w:rsidRPr="00E726C7">
        <w:rPr>
          <w:rFonts w:cs="Times New Roman"/>
          <w:sz w:val="24"/>
          <w:szCs w:val="24"/>
          <w:lang w:bidi="en-US"/>
        </w:rPr>
        <w:t xml:space="preserve">Crockett, S. A. (2012).  A five-step guide to conducting SEM analysis in counseling research. </w:t>
      </w:r>
      <w:r w:rsidRPr="00E726C7">
        <w:rPr>
          <w:rFonts w:cs="Times New Roman"/>
          <w:i/>
          <w:sz w:val="24"/>
          <w:szCs w:val="24"/>
          <w:lang w:bidi="en-US"/>
        </w:rPr>
        <w:t>Counseling Outcome Research and Evaluation, 3</w:t>
      </w:r>
      <w:r w:rsidRPr="00E726C7">
        <w:rPr>
          <w:rFonts w:cs="Times New Roman"/>
          <w:sz w:val="24"/>
          <w:szCs w:val="24"/>
          <w:lang w:bidi="en-US"/>
        </w:rPr>
        <w:t>(1), 30-47</w:t>
      </w:r>
    </w:p>
    <w:p w:rsidR="00E42123" w:rsidRPr="00E726C7" w:rsidRDefault="00E42123" w:rsidP="00E42123">
      <w:pPr>
        <w:snapToGrid w:val="0"/>
        <w:spacing w:after="120" w:line="280" w:lineRule="exact"/>
        <w:ind w:left="720" w:hanging="720"/>
        <w:jc w:val="both"/>
        <w:rPr>
          <w:rFonts w:cs="Times New Roman"/>
          <w:sz w:val="24"/>
          <w:szCs w:val="24"/>
          <w:u w:val="single"/>
          <w:lang w:bidi="en-US"/>
        </w:rPr>
      </w:pPr>
      <w:r w:rsidRPr="00E726C7">
        <w:rPr>
          <w:rFonts w:cs="Times New Roman"/>
          <w:sz w:val="24"/>
          <w:szCs w:val="24"/>
          <w:lang w:bidi="en-US"/>
        </w:rPr>
        <w:t xml:space="preserve"> Hooper, D., Coughlan, J., &amp; Mullen, M. R. (2012).  </w:t>
      </w:r>
      <w:r w:rsidRPr="00E726C7">
        <w:rPr>
          <w:rFonts w:cs="Times New Roman"/>
          <w:i/>
          <w:sz w:val="24"/>
          <w:szCs w:val="24"/>
          <w:lang w:bidi="en-US"/>
        </w:rPr>
        <w:t>Structural equation modelling: Guidelines for determining model fit</w:t>
      </w:r>
      <w:r w:rsidRPr="00E726C7">
        <w:rPr>
          <w:rFonts w:cs="Times New Roman"/>
          <w:sz w:val="24"/>
          <w:szCs w:val="24"/>
          <w:lang w:bidi="en-US"/>
        </w:rPr>
        <w:t xml:space="preserve">. Retrieved March 30, 2013, </w:t>
      </w:r>
      <w:r w:rsidRPr="00E726C7">
        <w:rPr>
          <w:rFonts w:cs="Times New Roman"/>
          <w:sz w:val="24"/>
          <w:szCs w:val="24"/>
          <w:u w:val="single"/>
          <w:lang w:bidi="en-US"/>
        </w:rPr>
        <w:t>www.ejbrm.com</w:t>
      </w:r>
    </w:p>
    <w:p w:rsidR="005B7BCE" w:rsidRPr="00E726C7" w:rsidRDefault="001E2388" w:rsidP="005B7BCE">
      <w:pPr>
        <w:snapToGrid w:val="0"/>
        <w:spacing w:afterLines="50" w:after="120" w:line="280" w:lineRule="exact"/>
        <w:ind w:left="720" w:hanging="720"/>
        <w:jc w:val="both"/>
        <w:rPr>
          <w:rFonts w:cs="Times New Roman"/>
          <w:sz w:val="24"/>
          <w:szCs w:val="24"/>
          <w:lang w:bidi="en-US"/>
        </w:rPr>
      </w:pPr>
      <w:r w:rsidRPr="00E726C7">
        <w:rPr>
          <w:rFonts w:eastAsia="Calibri" w:cs="Times New Roman"/>
          <w:bCs/>
          <w:sz w:val="24"/>
          <w:szCs w:val="24"/>
        </w:rPr>
        <w:t xml:space="preserve">Nsereko, D. N. (2015). A New Dawn of Hope for Students: Nkumba University develops a new Psychological Instrument. </w:t>
      </w:r>
      <w:r w:rsidRPr="00E726C7">
        <w:rPr>
          <w:rFonts w:eastAsia="Times New Roman" w:cs="Times New Roman"/>
          <w:i/>
          <w:sz w:val="24"/>
          <w:szCs w:val="24"/>
          <w:lang w:bidi="en-US"/>
        </w:rPr>
        <w:t xml:space="preserve">Nkumba Business Journal, 14, </w:t>
      </w:r>
      <w:r w:rsidRPr="00E726C7">
        <w:rPr>
          <w:rFonts w:eastAsia="Times New Roman" w:cs="Times New Roman"/>
          <w:sz w:val="24"/>
          <w:szCs w:val="24"/>
          <w:lang w:bidi="en-US"/>
        </w:rPr>
        <w:t>89-98.</w:t>
      </w:r>
    </w:p>
    <w:p w:rsidR="00F36E43" w:rsidRDefault="00F36E43" w:rsidP="005B7BCE">
      <w:pPr>
        <w:snapToGrid w:val="0"/>
        <w:spacing w:afterLines="50" w:after="120" w:line="280" w:lineRule="exact"/>
        <w:ind w:left="720" w:hanging="720"/>
        <w:jc w:val="both"/>
        <w:rPr>
          <w:rFonts w:eastAsia="Calibri" w:cs="Times New Roman"/>
          <w:bCs/>
          <w:sz w:val="24"/>
          <w:szCs w:val="24"/>
        </w:rPr>
      </w:pPr>
      <w:r w:rsidRPr="00E726C7">
        <w:rPr>
          <w:rFonts w:eastAsia="Calibri" w:cs="Times New Roman"/>
          <w:bCs/>
          <w:sz w:val="24"/>
          <w:szCs w:val="24"/>
        </w:rPr>
        <w:t xml:space="preserve">Nsereko, D. N., </w:t>
      </w:r>
      <w:proofErr w:type="spellStart"/>
      <w:r w:rsidRPr="00E726C7">
        <w:rPr>
          <w:rFonts w:eastAsia="Calibri" w:cs="Times New Roman"/>
          <w:bCs/>
          <w:sz w:val="24"/>
          <w:szCs w:val="24"/>
        </w:rPr>
        <w:t>Musisi</w:t>
      </w:r>
      <w:proofErr w:type="spellEnd"/>
      <w:r w:rsidRPr="00E726C7">
        <w:rPr>
          <w:rFonts w:eastAsia="Calibri" w:cs="Times New Roman"/>
          <w:bCs/>
          <w:sz w:val="24"/>
          <w:szCs w:val="24"/>
        </w:rPr>
        <w:t xml:space="preserve">, S., &amp; </w:t>
      </w:r>
      <w:proofErr w:type="spellStart"/>
      <w:r w:rsidRPr="00E726C7">
        <w:rPr>
          <w:rFonts w:eastAsia="Calibri" w:cs="Times New Roman"/>
          <w:bCs/>
          <w:sz w:val="24"/>
          <w:szCs w:val="24"/>
        </w:rPr>
        <w:t>Holtzman</w:t>
      </w:r>
      <w:proofErr w:type="spellEnd"/>
      <w:r w:rsidRPr="00E726C7">
        <w:rPr>
          <w:rFonts w:eastAsia="Calibri" w:cs="Times New Roman"/>
          <w:bCs/>
          <w:sz w:val="24"/>
          <w:szCs w:val="24"/>
        </w:rPr>
        <w:t xml:space="preserve">, S. (2014). Evaluation of psychosocial problems among African university students in Uganda: Development and validation of a screening instrument. </w:t>
      </w:r>
      <w:r w:rsidRPr="00E726C7">
        <w:rPr>
          <w:rFonts w:eastAsia="Calibri" w:cs="Times New Roman"/>
          <w:bCs/>
          <w:i/>
          <w:sz w:val="24"/>
          <w:szCs w:val="24"/>
        </w:rPr>
        <w:t>Psychology Research</w:t>
      </w:r>
      <w:r w:rsidRPr="00E726C7">
        <w:rPr>
          <w:rFonts w:eastAsia="Calibri" w:cs="Times New Roman"/>
          <w:bCs/>
          <w:sz w:val="24"/>
          <w:szCs w:val="24"/>
        </w:rPr>
        <w:t xml:space="preserve">, </w:t>
      </w:r>
      <w:r w:rsidRPr="00E726C7">
        <w:rPr>
          <w:rFonts w:eastAsia="Calibri" w:cs="Times New Roman"/>
          <w:bCs/>
          <w:i/>
          <w:sz w:val="24"/>
          <w:szCs w:val="24"/>
        </w:rPr>
        <w:t>2</w:t>
      </w:r>
      <w:r w:rsidRPr="00E726C7">
        <w:rPr>
          <w:rFonts w:eastAsia="Calibri" w:cs="Times New Roman"/>
          <w:bCs/>
          <w:sz w:val="24"/>
          <w:szCs w:val="24"/>
        </w:rPr>
        <w:t>(4), 112-131.</w:t>
      </w:r>
    </w:p>
    <w:p w:rsidR="00507AB3" w:rsidRDefault="00507AB3" w:rsidP="005B7BCE">
      <w:pPr>
        <w:snapToGrid w:val="0"/>
        <w:spacing w:afterLines="50" w:after="120" w:line="280" w:lineRule="exact"/>
        <w:ind w:left="720" w:hanging="720"/>
        <w:jc w:val="both"/>
        <w:rPr>
          <w:rFonts w:eastAsia="Calibri" w:cs="Times New Roman"/>
          <w:bCs/>
          <w:sz w:val="24"/>
          <w:szCs w:val="24"/>
        </w:rPr>
      </w:pPr>
    </w:p>
    <w:p w:rsidR="00507AB3" w:rsidRPr="00507AB3" w:rsidRDefault="00507AB3" w:rsidP="005B7BCE">
      <w:pPr>
        <w:snapToGrid w:val="0"/>
        <w:spacing w:afterLines="50" w:after="120" w:line="280" w:lineRule="exact"/>
        <w:ind w:left="720" w:hanging="720"/>
        <w:jc w:val="both"/>
        <w:rPr>
          <w:rFonts w:ascii="Times New Roman" w:hAnsi="Times New Roman" w:cs="Times New Roman"/>
          <w:b/>
          <w:sz w:val="24"/>
          <w:szCs w:val="24"/>
          <w:lang w:bidi="en-US"/>
        </w:rPr>
      </w:pPr>
      <w:r w:rsidRPr="00507AB3">
        <w:rPr>
          <w:rFonts w:ascii="Times New Roman" w:eastAsia="Calibri" w:hAnsi="Times New Roman" w:cs="Times New Roman"/>
          <w:b/>
          <w:bCs/>
          <w:sz w:val="24"/>
          <w:szCs w:val="24"/>
        </w:rPr>
        <w:t xml:space="preserve">Pricing </w:t>
      </w:r>
    </w:p>
    <w:p w:rsidR="00F36E43" w:rsidRPr="00507AB3" w:rsidRDefault="00F36E43" w:rsidP="00F36E43">
      <w:pPr>
        <w:spacing w:afterLines="50" w:after="120" w:line="240" w:lineRule="auto"/>
        <w:ind w:left="360"/>
        <w:contextualSpacing/>
        <w:jc w:val="both"/>
        <w:rPr>
          <w:rFonts w:ascii="Times New Roman" w:eastAsia="Calibri" w:hAnsi="Times New Roman" w:cs="Times New Roman"/>
          <w:bCs/>
          <w:sz w:val="24"/>
          <w:szCs w:val="24"/>
        </w:rPr>
      </w:pPr>
    </w:p>
    <w:p w:rsidR="00804436" w:rsidRPr="00507AB3" w:rsidRDefault="00804436" w:rsidP="00804436">
      <w:pPr>
        <w:rPr>
          <w:rFonts w:ascii="Times New Roman" w:hAnsi="Times New Roman" w:cs="Times New Roman"/>
          <w:b/>
          <w:bCs/>
        </w:rPr>
      </w:pPr>
      <w:r w:rsidRPr="00507AB3">
        <w:rPr>
          <w:rFonts w:ascii="Times New Roman" w:hAnsi="Times New Roman" w:cs="Times New Roman"/>
          <w:b/>
          <w:bCs/>
        </w:rPr>
        <w:t>HAND-SCORING TEST MATERIALS</w:t>
      </w:r>
    </w:p>
    <w:p w:rsidR="00804436" w:rsidRPr="00507AB3" w:rsidRDefault="00804436" w:rsidP="00804436">
      <w:pPr>
        <w:rPr>
          <w:rFonts w:ascii="Times New Roman" w:hAnsi="Times New Roman" w:cs="Times New Roman"/>
          <w:b/>
          <w:bCs/>
        </w:rPr>
      </w:pPr>
      <w:r w:rsidRPr="00507AB3">
        <w:rPr>
          <w:rFonts w:ascii="Times New Roman" w:hAnsi="Times New Roman" w:cs="Times New Roman"/>
          <w:b/>
          <w:bCs/>
        </w:rPr>
        <w:t>USEPP Hand-Scoring Record Sheets</w:t>
      </w:r>
    </w:p>
    <w:p w:rsidR="00804436" w:rsidRPr="00507AB3" w:rsidRDefault="00804436" w:rsidP="00804436">
      <w:pPr>
        <w:rPr>
          <w:rFonts w:ascii="Times New Roman" w:hAnsi="Times New Roman" w:cs="Times New Roman"/>
        </w:rPr>
      </w:pPr>
      <w:r w:rsidRPr="00507AB3">
        <w:rPr>
          <w:rFonts w:ascii="Times New Roman" w:hAnsi="Times New Roman" w:cs="Times New Roman"/>
        </w:rPr>
        <w:t xml:space="preserve">Cost: $70.00 </w:t>
      </w:r>
    </w:p>
    <w:p w:rsidR="00804436" w:rsidRPr="00507AB3" w:rsidRDefault="00804436" w:rsidP="00804436">
      <w:pPr>
        <w:rPr>
          <w:rFonts w:ascii="Times New Roman" w:hAnsi="Times New Roman" w:cs="Times New Roman"/>
        </w:rPr>
      </w:pPr>
      <w:r w:rsidRPr="00507AB3">
        <w:rPr>
          <w:rFonts w:ascii="Times New Roman" w:hAnsi="Times New Roman" w:cs="Times New Roman"/>
        </w:rPr>
        <w:t>P</w:t>
      </w:r>
      <w:r w:rsidR="00507AB3" w:rsidRPr="00507AB3">
        <w:rPr>
          <w:rFonts w:ascii="Times New Roman" w:hAnsi="Times New Roman" w:cs="Times New Roman"/>
        </w:rPr>
        <w:t>ac</w:t>
      </w:r>
      <w:r w:rsidRPr="00507AB3">
        <w:rPr>
          <w:rFonts w:ascii="Times New Roman" w:hAnsi="Times New Roman" w:cs="Times New Roman"/>
        </w:rPr>
        <w:t>k</w:t>
      </w:r>
      <w:r w:rsidR="00507AB3" w:rsidRPr="00507AB3">
        <w:rPr>
          <w:rFonts w:ascii="Times New Roman" w:hAnsi="Times New Roman" w:cs="Times New Roman"/>
        </w:rPr>
        <w:t>a</w:t>
      </w:r>
      <w:r w:rsidRPr="00507AB3">
        <w:rPr>
          <w:rFonts w:ascii="Times New Roman" w:hAnsi="Times New Roman" w:cs="Times New Roman"/>
        </w:rPr>
        <w:t>g</w:t>
      </w:r>
      <w:r w:rsidR="00507AB3" w:rsidRPr="00507AB3">
        <w:rPr>
          <w:rFonts w:ascii="Times New Roman" w:hAnsi="Times New Roman" w:cs="Times New Roman"/>
        </w:rPr>
        <w:t>e</w:t>
      </w:r>
      <w:r w:rsidRPr="00507AB3">
        <w:rPr>
          <w:rFonts w:ascii="Times New Roman" w:hAnsi="Times New Roman" w:cs="Times New Roman"/>
        </w:rPr>
        <w:t xml:space="preserve"> of 25</w:t>
      </w:r>
    </w:p>
    <w:p w:rsidR="00804436" w:rsidRPr="00507AB3" w:rsidRDefault="00804436" w:rsidP="00804436">
      <w:pPr>
        <w:rPr>
          <w:rFonts w:ascii="Times New Roman" w:hAnsi="Times New Roman" w:cs="Times New Roman"/>
          <w:b/>
          <w:bCs/>
        </w:rPr>
      </w:pPr>
      <w:r w:rsidRPr="00507AB3">
        <w:rPr>
          <w:rFonts w:ascii="Times New Roman" w:hAnsi="Times New Roman" w:cs="Times New Roman"/>
          <w:b/>
          <w:bCs/>
        </w:rPr>
        <w:t>USEPP Hand-Scoring Complete Kit</w:t>
      </w:r>
    </w:p>
    <w:p w:rsidR="00804436" w:rsidRPr="00507AB3" w:rsidRDefault="00507AB3" w:rsidP="00804436">
      <w:pPr>
        <w:rPr>
          <w:rFonts w:ascii="Times New Roman" w:hAnsi="Times New Roman" w:cs="Times New Roman"/>
        </w:rPr>
      </w:pPr>
      <w:r w:rsidRPr="00507AB3">
        <w:rPr>
          <w:rFonts w:ascii="Times New Roman" w:hAnsi="Times New Roman" w:cs="Times New Roman"/>
        </w:rPr>
        <w:t xml:space="preserve"> Cost </w:t>
      </w:r>
      <w:r w:rsidR="005C34F2">
        <w:rPr>
          <w:rFonts w:ascii="Times New Roman" w:hAnsi="Times New Roman" w:cs="Times New Roman"/>
        </w:rPr>
        <w:t>$13</w:t>
      </w:r>
      <w:r w:rsidR="00804436" w:rsidRPr="00507AB3">
        <w:rPr>
          <w:rFonts w:ascii="Times New Roman" w:hAnsi="Times New Roman" w:cs="Times New Roman"/>
        </w:rPr>
        <w:t>0</w:t>
      </w:r>
    </w:p>
    <w:p w:rsidR="00804436" w:rsidRPr="00507AB3" w:rsidRDefault="00804436" w:rsidP="00804436">
      <w:pPr>
        <w:rPr>
          <w:rFonts w:ascii="Times New Roman" w:hAnsi="Times New Roman" w:cs="Times New Roman"/>
        </w:rPr>
      </w:pPr>
      <w:r w:rsidRPr="00507AB3">
        <w:rPr>
          <w:rFonts w:ascii="Times New Roman" w:hAnsi="Times New Roman" w:cs="Times New Roman"/>
        </w:rPr>
        <w:t>Includes Manual and 25 Record Sheets</w:t>
      </w:r>
    </w:p>
    <w:p w:rsidR="00804436" w:rsidRPr="00507AB3" w:rsidRDefault="00804436" w:rsidP="00804436">
      <w:pPr>
        <w:rPr>
          <w:rFonts w:ascii="Times New Roman" w:hAnsi="Times New Roman" w:cs="Times New Roman"/>
          <w:b/>
          <w:bCs/>
        </w:rPr>
      </w:pPr>
      <w:r w:rsidRPr="00507AB3">
        <w:rPr>
          <w:rFonts w:ascii="Times New Roman" w:hAnsi="Times New Roman" w:cs="Times New Roman"/>
          <w:b/>
          <w:bCs/>
        </w:rPr>
        <w:t>ACCESSORIES</w:t>
      </w:r>
    </w:p>
    <w:p w:rsidR="00804436" w:rsidRPr="00507AB3" w:rsidRDefault="00D1483D" w:rsidP="00804436">
      <w:pPr>
        <w:rPr>
          <w:rFonts w:ascii="Times New Roman" w:hAnsi="Times New Roman" w:cs="Times New Roman"/>
          <w:b/>
          <w:bCs/>
        </w:rPr>
      </w:pPr>
      <w:r>
        <w:rPr>
          <w:rFonts w:ascii="Times New Roman" w:hAnsi="Times New Roman" w:cs="Times New Roman"/>
          <w:b/>
          <w:bCs/>
        </w:rPr>
        <w:t>USEPP professional</w:t>
      </w:r>
      <w:r w:rsidR="00804436" w:rsidRPr="00507AB3">
        <w:rPr>
          <w:rFonts w:ascii="Times New Roman" w:hAnsi="Times New Roman" w:cs="Times New Roman"/>
          <w:b/>
          <w:bCs/>
        </w:rPr>
        <w:t xml:space="preserve"> Manual</w:t>
      </w:r>
      <w:r>
        <w:rPr>
          <w:rFonts w:ascii="Times New Roman" w:hAnsi="Times New Roman" w:cs="Times New Roman"/>
          <w:b/>
          <w:bCs/>
        </w:rPr>
        <w:t xml:space="preserve"> </w:t>
      </w:r>
      <w:r w:rsidRPr="00D1483D">
        <w:rPr>
          <w:rFonts w:ascii="Times New Roman" w:hAnsi="Times New Roman" w:cs="Times New Roman"/>
          <w:b/>
          <w:bCs/>
        </w:rPr>
        <w:t>includes chapters on</w:t>
      </w:r>
      <w:r w:rsidR="00FF1C14">
        <w:rPr>
          <w:rFonts w:ascii="Times New Roman" w:hAnsi="Times New Roman" w:cs="Times New Roman"/>
          <w:b/>
          <w:bCs/>
        </w:rPr>
        <w:t xml:space="preserve"> Development, psychometric properties, </w:t>
      </w:r>
      <w:r w:rsidRPr="00D1483D">
        <w:rPr>
          <w:rFonts w:ascii="Times New Roman" w:hAnsi="Times New Roman" w:cs="Times New Roman"/>
          <w:b/>
          <w:bCs/>
        </w:rPr>
        <w:t>administration, interpret</w:t>
      </w:r>
      <w:r w:rsidR="00FF1C14">
        <w:rPr>
          <w:rFonts w:ascii="Times New Roman" w:hAnsi="Times New Roman" w:cs="Times New Roman"/>
          <w:b/>
          <w:bCs/>
        </w:rPr>
        <w:t>ation of the USEPP</w:t>
      </w:r>
    </w:p>
    <w:p w:rsidR="00804436" w:rsidRPr="00507AB3" w:rsidRDefault="00FF1C14" w:rsidP="00804436">
      <w:pPr>
        <w:rPr>
          <w:rFonts w:ascii="Times New Roman" w:hAnsi="Times New Roman" w:cs="Times New Roman"/>
          <w:b/>
          <w:bCs/>
        </w:rPr>
      </w:pPr>
      <w:r>
        <w:rPr>
          <w:rFonts w:ascii="Times New Roman" w:hAnsi="Times New Roman" w:cs="Times New Roman"/>
          <w:b/>
          <w:bCs/>
        </w:rPr>
        <w:t xml:space="preserve"> Cost: </w:t>
      </w:r>
      <w:r w:rsidR="005C34F2">
        <w:rPr>
          <w:rFonts w:ascii="Times New Roman" w:hAnsi="Times New Roman" w:cs="Times New Roman"/>
          <w:b/>
          <w:bCs/>
        </w:rPr>
        <w:t>$ 60</w:t>
      </w:r>
    </w:p>
    <w:p w:rsidR="00804436" w:rsidRPr="00804436" w:rsidRDefault="00804436" w:rsidP="00804436">
      <w:pPr>
        <w:spacing w:before="100" w:beforeAutospacing="1" w:after="100" w:afterAutospacing="1" w:line="240" w:lineRule="auto"/>
        <w:outlineLvl w:val="3"/>
        <w:rPr>
          <w:rFonts w:ascii="Times New Roman" w:eastAsia="Times New Roman" w:hAnsi="Times New Roman" w:cs="Times New Roman"/>
          <w:b/>
          <w:bCs/>
          <w:sz w:val="24"/>
          <w:szCs w:val="24"/>
        </w:rPr>
      </w:pPr>
      <w:r w:rsidRPr="00804436">
        <w:rPr>
          <w:rFonts w:ascii="Times New Roman" w:eastAsia="Times New Roman" w:hAnsi="Times New Roman" w:cs="Times New Roman"/>
          <w:b/>
          <w:bCs/>
          <w:sz w:val="24"/>
          <w:szCs w:val="24"/>
        </w:rPr>
        <w:t>Volume Discounts on Materials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8"/>
        <w:gridCol w:w="5846"/>
      </w:tblGrid>
      <w:tr w:rsidR="00804436" w:rsidRPr="00804436" w:rsidTr="008044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b/>
                <w:bCs/>
                <w:sz w:val="24"/>
                <w:szCs w:val="24"/>
              </w:rPr>
              <w:t>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b/>
                <w:bCs/>
                <w:sz w:val="24"/>
                <w:szCs w:val="24"/>
              </w:rPr>
              <w:t>DISCOUNT</w:t>
            </w:r>
          </w:p>
        </w:tc>
      </w:tr>
      <w:tr w:rsidR="00804436" w:rsidRPr="00804436" w:rsidTr="008044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507AB3">
              <w:rPr>
                <w:rFonts w:ascii="Times New Roman" w:eastAsia="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5%</w:t>
            </w:r>
          </w:p>
        </w:tc>
      </w:tr>
      <w:tr w:rsidR="00804436" w:rsidRPr="00804436" w:rsidTr="008044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10–24</w:t>
            </w:r>
          </w:p>
        </w:tc>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10%</w:t>
            </w:r>
          </w:p>
        </w:tc>
      </w:tr>
      <w:tr w:rsidR="00804436" w:rsidRPr="00804436" w:rsidTr="008044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25–50</w:t>
            </w:r>
          </w:p>
        </w:tc>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15%</w:t>
            </w:r>
          </w:p>
        </w:tc>
      </w:tr>
      <w:tr w:rsidR="00804436" w:rsidRPr="00804436" w:rsidTr="008044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804436" w:rsidRPr="00804436" w:rsidRDefault="00804436" w:rsidP="00804436">
            <w:pPr>
              <w:spacing w:after="0" w:line="240" w:lineRule="auto"/>
              <w:rPr>
                <w:rFonts w:ascii="Times New Roman" w:eastAsia="Times New Roman" w:hAnsi="Times New Roman" w:cs="Times New Roman"/>
                <w:sz w:val="24"/>
                <w:szCs w:val="24"/>
              </w:rPr>
            </w:pPr>
            <w:r w:rsidRPr="00804436">
              <w:rPr>
                <w:rFonts w:ascii="Times New Roman" w:eastAsia="Times New Roman" w:hAnsi="Times New Roman" w:cs="Times New Roman"/>
                <w:sz w:val="24"/>
                <w:szCs w:val="24"/>
              </w:rPr>
              <w:t>20%</w:t>
            </w:r>
          </w:p>
        </w:tc>
      </w:tr>
    </w:tbl>
    <w:p w:rsidR="009E5FE9" w:rsidRPr="00507AB3" w:rsidRDefault="009E5FE9">
      <w:pPr>
        <w:rPr>
          <w:rFonts w:ascii="Times New Roman" w:hAnsi="Times New Roman" w:cs="Times New Roman"/>
        </w:rPr>
      </w:pPr>
    </w:p>
    <w:sectPr w:rsidR="009E5FE9" w:rsidRPr="00507A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17" w:rsidRDefault="00D66417" w:rsidP="000950A2">
      <w:pPr>
        <w:spacing w:after="0" w:line="240" w:lineRule="auto"/>
      </w:pPr>
      <w:r>
        <w:separator/>
      </w:r>
    </w:p>
  </w:endnote>
  <w:endnote w:type="continuationSeparator" w:id="0">
    <w:p w:rsidR="00D66417" w:rsidRDefault="00D66417" w:rsidP="0009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09218"/>
      <w:docPartObj>
        <w:docPartGallery w:val="Page Numbers (Bottom of Page)"/>
        <w:docPartUnique/>
      </w:docPartObj>
    </w:sdtPr>
    <w:sdtEndPr>
      <w:rPr>
        <w:noProof/>
      </w:rPr>
    </w:sdtEndPr>
    <w:sdtContent>
      <w:p w:rsidR="000950A2" w:rsidRDefault="000950A2">
        <w:pPr>
          <w:pStyle w:val="Footer"/>
          <w:jc w:val="right"/>
        </w:pPr>
        <w:r>
          <w:fldChar w:fldCharType="begin"/>
        </w:r>
        <w:r>
          <w:instrText xml:space="preserve"> PAGE   \* MERGEFORMAT </w:instrText>
        </w:r>
        <w:r>
          <w:fldChar w:fldCharType="separate"/>
        </w:r>
        <w:r w:rsidR="007632E2">
          <w:rPr>
            <w:noProof/>
          </w:rPr>
          <w:t>3</w:t>
        </w:r>
        <w:r>
          <w:rPr>
            <w:noProof/>
          </w:rPr>
          <w:fldChar w:fldCharType="end"/>
        </w:r>
      </w:p>
    </w:sdtContent>
  </w:sdt>
  <w:p w:rsidR="000950A2" w:rsidRDefault="00095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17" w:rsidRDefault="00D66417" w:rsidP="000950A2">
      <w:pPr>
        <w:spacing w:after="0" w:line="240" w:lineRule="auto"/>
      </w:pPr>
      <w:r>
        <w:separator/>
      </w:r>
    </w:p>
  </w:footnote>
  <w:footnote w:type="continuationSeparator" w:id="0">
    <w:p w:rsidR="00D66417" w:rsidRDefault="00D66417" w:rsidP="00095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2332"/>
    <w:multiLevelType w:val="multilevel"/>
    <w:tmpl w:val="FD4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33FAD"/>
    <w:multiLevelType w:val="multilevel"/>
    <w:tmpl w:val="3C48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076F6"/>
    <w:multiLevelType w:val="hybridMultilevel"/>
    <w:tmpl w:val="5C8E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D7"/>
    <w:rsid w:val="000253CC"/>
    <w:rsid w:val="00051EAF"/>
    <w:rsid w:val="000545B5"/>
    <w:rsid w:val="00087103"/>
    <w:rsid w:val="000950A2"/>
    <w:rsid w:val="000E2936"/>
    <w:rsid w:val="001118D7"/>
    <w:rsid w:val="001E2388"/>
    <w:rsid w:val="00296B83"/>
    <w:rsid w:val="00311484"/>
    <w:rsid w:val="00447129"/>
    <w:rsid w:val="00507AB3"/>
    <w:rsid w:val="005B7BCE"/>
    <w:rsid w:val="005C34F2"/>
    <w:rsid w:val="005F3DB8"/>
    <w:rsid w:val="006A183B"/>
    <w:rsid w:val="006E220F"/>
    <w:rsid w:val="006E4360"/>
    <w:rsid w:val="006E7B0A"/>
    <w:rsid w:val="00751A52"/>
    <w:rsid w:val="007632E2"/>
    <w:rsid w:val="007A024B"/>
    <w:rsid w:val="00804436"/>
    <w:rsid w:val="009250B5"/>
    <w:rsid w:val="009443FB"/>
    <w:rsid w:val="00971815"/>
    <w:rsid w:val="009903D0"/>
    <w:rsid w:val="009E47A6"/>
    <w:rsid w:val="009E5FE9"/>
    <w:rsid w:val="00A36F1E"/>
    <w:rsid w:val="00A556BF"/>
    <w:rsid w:val="00A730DE"/>
    <w:rsid w:val="00A80F56"/>
    <w:rsid w:val="00B3379F"/>
    <w:rsid w:val="00B94253"/>
    <w:rsid w:val="00BE7773"/>
    <w:rsid w:val="00CB2ADA"/>
    <w:rsid w:val="00D1483D"/>
    <w:rsid w:val="00D66417"/>
    <w:rsid w:val="00DD21D1"/>
    <w:rsid w:val="00E42123"/>
    <w:rsid w:val="00E5210B"/>
    <w:rsid w:val="00E726C7"/>
    <w:rsid w:val="00F36E43"/>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806A0-4535-4E5A-A94C-B8C5E30A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next w:val="PlainTable1"/>
    <w:uiPriority w:val="41"/>
    <w:rsid w:val="00A730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730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A2"/>
  </w:style>
  <w:style w:type="paragraph" w:styleId="Footer">
    <w:name w:val="footer"/>
    <w:basedOn w:val="Normal"/>
    <w:link w:val="FooterChar"/>
    <w:uiPriority w:val="99"/>
    <w:unhideWhenUsed/>
    <w:rsid w:val="0009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A2"/>
  </w:style>
  <w:style w:type="paragraph" w:styleId="BalloonText">
    <w:name w:val="Balloon Text"/>
    <w:basedOn w:val="Normal"/>
    <w:link w:val="BalloonTextChar"/>
    <w:uiPriority w:val="99"/>
    <w:semiHidden/>
    <w:unhideWhenUsed/>
    <w:rsid w:val="00E72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92098">
      <w:bodyDiv w:val="1"/>
      <w:marLeft w:val="0"/>
      <w:marRight w:val="0"/>
      <w:marTop w:val="0"/>
      <w:marBottom w:val="0"/>
      <w:divBdr>
        <w:top w:val="none" w:sz="0" w:space="0" w:color="auto"/>
        <w:left w:val="none" w:sz="0" w:space="0" w:color="auto"/>
        <w:bottom w:val="none" w:sz="0" w:space="0" w:color="auto"/>
        <w:right w:val="none" w:sz="0" w:space="0" w:color="auto"/>
      </w:divBdr>
      <w:divsChild>
        <w:div w:id="1249123206">
          <w:marLeft w:val="0"/>
          <w:marRight w:val="0"/>
          <w:marTop w:val="0"/>
          <w:marBottom w:val="0"/>
          <w:divBdr>
            <w:top w:val="none" w:sz="0" w:space="0" w:color="auto"/>
            <w:left w:val="none" w:sz="0" w:space="0" w:color="auto"/>
            <w:bottom w:val="none" w:sz="0" w:space="0" w:color="auto"/>
            <w:right w:val="none" w:sz="0" w:space="0" w:color="auto"/>
          </w:divBdr>
        </w:div>
        <w:div w:id="684669242">
          <w:marLeft w:val="0"/>
          <w:marRight w:val="0"/>
          <w:marTop w:val="0"/>
          <w:marBottom w:val="0"/>
          <w:divBdr>
            <w:top w:val="none" w:sz="0" w:space="0" w:color="auto"/>
            <w:left w:val="none" w:sz="0" w:space="0" w:color="auto"/>
            <w:bottom w:val="none" w:sz="0" w:space="0" w:color="auto"/>
            <w:right w:val="none" w:sz="0" w:space="0" w:color="auto"/>
          </w:divBdr>
        </w:div>
        <w:div w:id="149254034">
          <w:marLeft w:val="0"/>
          <w:marRight w:val="0"/>
          <w:marTop w:val="0"/>
          <w:marBottom w:val="0"/>
          <w:divBdr>
            <w:top w:val="none" w:sz="0" w:space="0" w:color="auto"/>
            <w:left w:val="none" w:sz="0" w:space="0" w:color="auto"/>
            <w:bottom w:val="none" w:sz="0" w:space="0" w:color="auto"/>
            <w:right w:val="none" w:sz="0" w:space="0" w:color="auto"/>
          </w:divBdr>
        </w:div>
      </w:divsChild>
    </w:div>
    <w:div w:id="1881089191">
      <w:bodyDiv w:val="1"/>
      <w:marLeft w:val="0"/>
      <w:marRight w:val="0"/>
      <w:marTop w:val="0"/>
      <w:marBottom w:val="0"/>
      <w:divBdr>
        <w:top w:val="none" w:sz="0" w:space="0" w:color="auto"/>
        <w:left w:val="none" w:sz="0" w:space="0" w:color="auto"/>
        <w:bottom w:val="none" w:sz="0" w:space="0" w:color="auto"/>
        <w:right w:val="none" w:sz="0" w:space="0" w:color="auto"/>
      </w:divBdr>
      <w:divsChild>
        <w:div w:id="184728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Nkumba University</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Nsereko</dc:creator>
  <cp:keywords/>
  <dc:description/>
  <cp:lastModifiedBy>Norman Nsereko</cp:lastModifiedBy>
  <cp:revision>31</cp:revision>
  <cp:lastPrinted>2017-10-13T08:11:00Z</cp:lastPrinted>
  <dcterms:created xsi:type="dcterms:W3CDTF">2017-10-10T10:11:00Z</dcterms:created>
  <dcterms:modified xsi:type="dcterms:W3CDTF">2017-10-21T07:43:00Z</dcterms:modified>
</cp:coreProperties>
</file>