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F1B2" w14:textId="77777777" w:rsidR="00936713" w:rsidRPr="002F64EF" w:rsidRDefault="00936713" w:rsidP="001B2552">
      <w:pPr>
        <w:spacing w:line="360" w:lineRule="auto"/>
        <w:jc w:val="center"/>
        <w:rPr>
          <w:shd w:val="clear" w:color="auto" w:fill="FFFFFF"/>
        </w:rPr>
      </w:pPr>
      <w:bookmarkStart w:id="0" w:name="_Toc493832151"/>
      <w:r w:rsidRPr="002F64EF">
        <w:rPr>
          <w:shd w:val="clear" w:color="auto" w:fill="FFFFFF"/>
        </w:rPr>
        <w:t xml:space="preserve">YOUTH LIVELIHOOD PROGRAMME AND HOUSEHOLD WELL-BEING: A CASE OF LUBAGA DIVISION, KAMPALA </w:t>
      </w:r>
      <w:r>
        <w:rPr>
          <w:shd w:val="clear" w:color="auto" w:fill="FFFFFF"/>
        </w:rPr>
        <w:t>CITY</w:t>
      </w:r>
    </w:p>
    <w:p w14:paraId="6A354E54" w14:textId="755D23EC" w:rsidR="00D83817" w:rsidRPr="001B2552" w:rsidRDefault="00D83817" w:rsidP="001B2552">
      <w:pPr>
        <w:spacing w:line="360" w:lineRule="auto"/>
        <w:rPr>
          <w:shd w:val="clear" w:color="auto" w:fill="FFFFFF"/>
        </w:rPr>
      </w:pPr>
      <w:r w:rsidRPr="00196443">
        <w:rPr>
          <w:szCs w:val="24"/>
        </w:rPr>
        <w:t xml:space="preserve">BY: </w:t>
      </w:r>
      <w:r w:rsidR="001B2552" w:rsidRPr="002F64EF">
        <w:rPr>
          <w:shd w:val="clear" w:color="auto" w:fill="FFFFFF"/>
        </w:rPr>
        <w:t>THEMBO JOHN BOSCO</w:t>
      </w:r>
    </w:p>
    <w:p w14:paraId="6B28375A" w14:textId="77777777" w:rsidR="001B2552" w:rsidRPr="002F64EF" w:rsidRDefault="001B2552" w:rsidP="001B2552">
      <w:pPr>
        <w:spacing w:line="360" w:lineRule="auto"/>
        <w:rPr>
          <w:shd w:val="clear" w:color="auto" w:fill="FFFFFF"/>
        </w:rPr>
      </w:pPr>
      <w:r w:rsidRPr="002F64EF">
        <w:rPr>
          <w:shd w:val="clear" w:color="auto" w:fill="FFFFFF"/>
        </w:rPr>
        <w:t>2018/AUG/MHRHD/M223943/WKD/KLA</w:t>
      </w:r>
    </w:p>
    <w:p w14:paraId="533D1AEA" w14:textId="77777777" w:rsidR="001B2552" w:rsidRPr="002F64EF" w:rsidRDefault="00D83817" w:rsidP="001B2552">
      <w:pPr>
        <w:spacing w:line="360" w:lineRule="auto"/>
      </w:pPr>
      <w:r>
        <w:t xml:space="preserve">SUPERVISOR: </w:t>
      </w:r>
      <w:bookmarkEnd w:id="0"/>
      <w:r w:rsidR="001B2552" w:rsidRPr="002F64EF">
        <w:t>DR. EDAKU CHARLES</w:t>
      </w:r>
    </w:p>
    <w:p w14:paraId="2B59D7DE" w14:textId="6A3E5C05" w:rsidR="00D83817" w:rsidRPr="0020095F" w:rsidRDefault="00D83817" w:rsidP="00D83817">
      <w:pPr>
        <w:jc w:val="center"/>
      </w:pPr>
    </w:p>
    <w:p w14:paraId="30BB3824" w14:textId="77777777" w:rsidR="00D83817" w:rsidRDefault="00D83817" w:rsidP="00D83817">
      <w:pPr>
        <w:jc w:val="center"/>
        <w:rPr>
          <w:szCs w:val="26"/>
        </w:rPr>
      </w:pPr>
    </w:p>
    <w:p w14:paraId="1965846A" w14:textId="146F5303" w:rsidR="00D83817" w:rsidRDefault="00D83817" w:rsidP="00D83817">
      <w:pPr>
        <w:rPr>
          <w:rFonts w:cs="Times New Roman"/>
          <w:szCs w:val="24"/>
        </w:rPr>
      </w:pPr>
      <w:r w:rsidRPr="00157D24">
        <w:rPr>
          <w:rFonts w:cs="Times New Roman"/>
          <w:b/>
          <w:bCs/>
          <w:szCs w:val="24"/>
          <w:u w:val="single"/>
        </w:rPr>
        <w:t>Key Words</w:t>
      </w:r>
      <w:r>
        <w:rPr>
          <w:rFonts w:cs="Times New Roman"/>
          <w:szCs w:val="24"/>
        </w:rPr>
        <w:t xml:space="preserve">: </w:t>
      </w:r>
      <w:r w:rsidR="001B2552">
        <w:rPr>
          <w:rFonts w:cs="Times New Roman"/>
          <w:szCs w:val="24"/>
        </w:rPr>
        <w:t xml:space="preserve">Youth Livelihood Programme, Household Well-being, Lubaga Division, Vocational Marketable skills, Financial Support, Entrepreneurship and </w:t>
      </w:r>
      <w:r w:rsidR="0049612B">
        <w:rPr>
          <w:rFonts w:cs="Times New Roman"/>
          <w:szCs w:val="24"/>
        </w:rPr>
        <w:t xml:space="preserve">Life Skills </w:t>
      </w:r>
      <w:r w:rsidR="001B2552">
        <w:rPr>
          <w:rFonts w:cs="Times New Roman"/>
          <w:szCs w:val="24"/>
        </w:rPr>
        <w:t>and Knowledge and Information.</w:t>
      </w:r>
    </w:p>
    <w:p w14:paraId="669586FC" w14:textId="77777777" w:rsidR="00D83817" w:rsidRPr="00084C89" w:rsidRDefault="00D83817" w:rsidP="00D83817">
      <w:pPr>
        <w:rPr>
          <w:b/>
        </w:rPr>
      </w:pPr>
      <w:r w:rsidRPr="00084C89">
        <w:rPr>
          <w:b/>
        </w:rPr>
        <w:t>Introduction</w:t>
      </w:r>
    </w:p>
    <w:p w14:paraId="0F8726EA" w14:textId="048B89A8" w:rsidR="0034390D" w:rsidRDefault="00717478" w:rsidP="00D83817">
      <w:pPr>
        <w:rPr>
          <w:b/>
          <w:szCs w:val="24"/>
        </w:rPr>
      </w:pPr>
      <w:bookmarkStart w:id="1" w:name="_Hlk63327254"/>
      <w:r w:rsidRPr="00E64635">
        <w:rPr>
          <w:lang w:val="en-GB"/>
        </w:rPr>
        <w:t xml:space="preserve">The study was about </w:t>
      </w:r>
      <w:bookmarkEnd w:id="1"/>
      <w:r w:rsidRPr="00E64635">
        <w:rPr>
          <w:shd w:val="clear" w:color="auto" w:fill="FFFFFF"/>
          <w:lang w:val="en-GB"/>
        </w:rPr>
        <w:t xml:space="preserve">the extent to which Youth Livelihood Programme supports household well-being in Uganda: a case of Lubaga Division, Kampala </w:t>
      </w:r>
      <w:r>
        <w:rPr>
          <w:shd w:val="clear" w:color="auto" w:fill="FFFFFF"/>
          <w:lang w:val="en-GB"/>
        </w:rPr>
        <w:t>City</w:t>
      </w:r>
      <w:r w:rsidR="00A75AAC">
        <w:t>.</w:t>
      </w:r>
      <w:r w:rsidR="0034390D" w:rsidRPr="00084C89">
        <w:rPr>
          <w:b/>
          <w:szCs w:val="24"/>
        </w:rPr>
        <w:t xml:space="preserve"> </w:t>
      </w:r>
    </w:p>
    <w:p w14:paraId="6C20641B" w14:textId="29FAA48B" w:rsidR="00D83817" w:rsidRPr="00084C89" w:rsidRDefault="00D83817" w:rsidP="00D83817">
      <w:pPr>
        <w:rPr>
          <w:b/>
          <w:szCs w:val="24"/>
        </w:rPr>
      </w:pPr>
      <w:r w:rsidRPr="00084C89">
        <w:rPr>
          <w:b/>
          <w:szCs w:val="24"/>
        </w:rPr>
        <w:t>Objectives</w:t>
      </w:r>
    </w:p>
    <w:p w14:paraId="434E55F5" w14:textId="77777777" w:rsidR="00717478" w:rsidRPr="002F64EF" w:rsidRDefault="00717478" w:rsidP="00717478">
      <w:pPr>
        <w:pStyle w:val="ListParagraph"/>
        <w:numPr>
          <w:ilvl w:val="0"/>
          <w:numId w:val="2"/>
        </w:numPr>
        <w:spacing w:line="480" w:lineRule="auto"/>
        <w:rPr>
          <w:rFonts w:cs="Times New Roman"/>
          <w:szCs w:val="24"/>
        </w:rPr>
      </w:pPr>
      <w:r w:rsidRPr="002F64EF">
        <w:rPr>
          <w:rFonts w:cs="Times New Roman"/>
          <w:szCs w:val="24"/>
        </w:rPr>
        <w:t xml:space="preserve">To examine the contribution of vocational marketable skills </w:t>
      </w:r>
      <w:r>
        <w:rPr>
          <w:rFonts w:cs="Times New Roman"/>
          <w:szCs w:val="24"/>
        </w:rPr>
        <w:t>t</w:t>
      </w:r>
      <w:r w:rsidRPr="002F64EF">
        <w:rPr>
          <w:rFonts w:cs="Times New Roman"/>
          <w:szCs w:val="24"/>
        </w:rPr>
        <w:t xml:space="preserve">o household well-being among the youths in Lubaga Division, Kampala District. </w:t>
      </w:r>
    </w:p>
    <w:p w14:paraId="2F447A89" w14:textId="77777777" w:rsidR="00717478" w:rsidRPr="002F64EF" w:rsidRDefault="00717478" w:rsidP="00717478">
      <w:pPr>
        <w:pStyle w:val="ListParagraph"/>
        <w:numPr>
          <w:ilvl w:val="0"/>
          <w:numId w:val="2"/>
        </w:numPr>
        <w:spacing w:line="480" w:lineRule="auto"/>
        <w:rPr>
          <w:rFonts w:cs="Times New Roman"/>
          <w:szCs w:val="24"/>
        </w:rPr>
      </w:pPr>
      <w:r w:rsidRPr="002F64EF">
        <w:rPr>
          <w:rFonts w:cs="Times New Roman"/>
          <w:szCs w:val="24"/>
        </w:rPr>
        <w:t>To assess the influence of financial support on household well-being among the youths in Lubaga Division, Kampala District.</w:t>
      </w:r>
    </w:p>
    <w:p w14:paraId="38F915A5" w14:textId="77777777" w:rsidR="00F559E1" w:rsidRDefault="00717478" w:rsidP="00717478">
      <w:pPr>
        <w:pStyle w:val="ListParagraph"/>
        <w:numPr>
          <w:ilvl w:val="0"/>
          <w:numId w:val="2"/>
        </w:numPr>
        <w:spacing w:line="480" w:lineRule="auto"/>
        <w:rPr>
          <w:rFonts w:cs="Times New Roman"/>
          <w:szCs w:val="24"/>
        </w:rPr>
      </w:pPr>
      <w:r w:rsidRPr="002F64EF">
        <w:rPr>
          <w:rFonts w:cs="Times New Roman"/>
          <w:szCs w:val="24"/>
        </w:rPr>
        <w:t xml:space="preserve">To evaluate the extent to which </w:t>
      </w:r>
      <w:r w:rsidRPr="002F64EF">
        <w:t xml:space="preserve">entrepreneurship and life skills contribute to </w:t>
      </w:r>
      <w:r w:rsidRPr="002F64EF">
        <w:rPr>
          <w:rFonts w:cs="Times New Roman"/>
          <w:szCs w:val="24"/>
        </w:rPr>
        <w:t>household well-being among the youths in Lubaga Division, Kampala District.</w:t>
      </w:r>
    </w:p>
    <w:p w14:paraId="4D6C0D11" w14:textId="3B8002D2" w:rsidR="0034390D" w:rsidRPr="00F559E1" w:rsidRDefault="00717478" w:rsidP="00717478">
      <w:pPr>
        <w:pStyle w:val="ListParagraph"/>
        <w:numPr>
          <w:ilvl w:val="0"/>
          <w:numId w:val="2"/>
        </w:numPr>
        <w:spacing w:line="480" w:lineRule="auto"/>
        <w:rPr>
          <w:rFonts w:cs="Times New Roman"/>
          <w:szCs w:val="24"/>
        </w:rPr>
      </w:pPr>
      <w:r w:rsidRPr="00F559E1">
        <w:rPr>
          <w:rFonts w:cs="Times New Roman"/>
          <w:szCs w:val="24"/>
        </w:rPr>
        <w:t>To assess the contribution of knowledge and information for attitudinal change on household well-being among the youths in Lubaga Division, Kampala District</w:t>
      </w:r>
      <w:r w:rsidR="0034390D" w:rsidRPr="00F559E1">
        <w:rPr>
          <w:i/>
          <w:szCs w:val="24"/>
        </w:rPr>
        <w:t>.</w:t>
      </w:r>
    </w:p>
    <w:p w14:paraId="5F4CB2AC" w14:textId="77777777" w:rsidR="00D83817" w:rsidRPr="00084C89" w:rsidRDefault="00D83817" w:rsidP="00D83817">
      <w:pPr>
        <w:rPr>
          <w:b/>
          <w:szCs w:val="24"/>
        </w:rPr>
      </w:pPr>
      <w:r w:rsidRPr="00084C89">
        <w:rPr>
          <w:b/>
          <w:szCs w:val="24"/>
        </w:rPr>
        <w:t>Methodology</w:t>
      </w:r>
    </w:p>
    <w:p w14:paraId="7E17EEAD" w14:textId="2A07E232" w:rsidR="0034390D" w:rsidRPr="00924DF2" w:rsidRDefault="00924DF2" w:rsidP="00924DF2">
      <w:pPr>
        <w:spacing w:line="276" w:lineRule="auto"/>
        <w:rPr>
          <w:szCs w:val="24"/>
          <w:lang w:val="en-GB"/>
        </w:rPr>
      </w:pPr>
      <w:r w:rsidRPr="004C1E02">
        <w:rPr>
          <w:szCs w:val="24"/>
          <w:lang w:val="en-GB"/>
        </w:rPr>
        <w:t xml:space="preserve">The research study used a </w:t>
      </w:r>
      <w:r w:rsidRPr="004C1E02">
        <w:rPr>
          <w:lang w:val="en-GB"/>
        </w:rPr>
        <w:t>descriptive research design</w:t>
      </w:r>
      <w:r w:rsidRPr="004C1E02">
        <w:rPr>
          <w:szCs w:val="24"/>
          <w:lang w:val="en-GB"/>
        </w:rPr>
        <w:t xml:space="preserve"> focus</w:t>
      </w:r>
      <w:r>
        <w:rPr>
          <w:szCs w:val="24"/>
          <w:lang w:val="en-GB"/>
        </w:rPr>
        <w:t>ing</w:t>
      </w:r>
      <w:r w:rsidRPr="004C1E02">
        <w:rPr>
          <w:szCs w:val="24"/>
          <w:lang w:val="en-GB"/>
        </w:rPr>
        <w:t xml:space="preserve"> on quantitative and qualitative ap</w:t>
      </w:r>
      <w:r>
        <w:rPr>
          <w:szCs w:val="24"/>
          <w:lang w:val="en-GB"/>
        </w:rPr>
        <w:t>p</w:t>
      </w:r>
      <w:r w:rsidRPr="004C1E02">
        <w:rPr>
          <w:szCs w:val="24"/>
          <w:lang w:val="en-GB"/>
        </w:rPr>
        <w:t>roaches to collect data from 262 respondents who had been conveniently picked for the sample of which only 221 participated</w:t>
      </w:r>
      <w:r w:rsidR="0034390D" w:rsidRPr="001B7FC8">
        <w:rPr>
          <w:szCs w:val="24"/>
          <w:lang w:val="af-ZA"/>
        </w:rPr>
        <w:t xml:space="preserve">. </w:t>
      </w:r>
    </w:p>
    <w:p w14:paraId="75383BAC" w14:textId="77777777" w:rsidR="00D83817" w:rsidRPr="000B6D1A" w:rsidRDefault="00D83817" w:rsidP="000B6D1A">
      <w:pPr>
        <w:rPr>
          <w:b/>
          <w:bCs/>
        </w:rPr>
      </w:pPr>
      <w:r w:rsidRPr="000B6D1A">
        <w:rPr>
          <w:b/>
          <w:bCs/>
        </w:rPr>
        <w:lastRenderedPageBreak/>
        <w:t>Key study findings</w:t>
      </w:r>
    </w:p>
    <w:p w14:paraId="2673B554" w14:textId="2A0AF7EC" w:rsidR="00C55D45" w:rsidRDefault="00924DF2" w:rsidP="00924DF2">
      <w:pPr>
        <w:spacing w:line="276" w:lineRule="auto"/>
        <w:rPr>
          <w:szCs w:val="26"/>
        </w:rPr>
      </w:pPr>
      <w:r w:rsidRPr="002F64EF">
        <w:t xml:space="preserve">The results showed a mean score of </w:t>
      </w:r>
      <w:r w:rsidRPr="002F64EF">
        <w:rPr>
          <w:rFonts w:cs="Times New Roman"/>
          <w:szCs w:val="24"/>
        </w:rPr>
        <w:t xml:space="preserve">4.3348 meaning </w:t>
      </w:r>
      <w:r w:rsidRPr="002F64EF">
        <w:t xml:space="preserve">that youth livelihood programme promoted development-oriented policies that have supported productive activities of the youth and gain momentum in marketable skills, a mean score of </w:t>
      </w:r>
      <w:r w:rsidRPr="002F64EF">
        <w:rPr>
          <w:rFonts w:cs="Times New Roman"/>
          <w:szCs w:val="24"/>
        </w:rPr>
        <w:t xml:space="preserve">3.4027 was yielded to mean that </w:t>
      </w:r>
      <w:r w:rsidRPr="002F64EF">
        <w:t xml:space="preserve">youth entrepreneurship through the youth livelihood programme was on a rise, a mean score of </w:t>
      </w:r>
      <w:r w:rsidRPr="002F64EF">
        <w:rPr>
          <w:rFonts w:cs="Times New Roman"/>
          <w:szCs w:val="24"/>
        </w:rPr>
        <w:t>2.5792 to mean that t</w:t>
      </w:r>
      <w:r w:rsidRPr="002F64EF">
        <w:t xml:space="preserve">he youth have been able to have an improved standard of living and well-being, a mean score of </w:t>
      </w:r>
      <w:r w:rsidRPr="002F64EF">
        <w:rPr>
          <w:rFonts w:cs="Times New Roman"/>
          <w:szCs w:val="24"/>
        </w:rPr>
        <w:t xml:space="preserve">1.9840  to mean that </w:t>
      </w:r>
      <w:r w:rsidRPr="002F64EF">
        <w:t>the youths have not yet been able to achieve enough income to secure homes or houses</w:t>
      </w:r>
      <w:r w:rsidR="00BD146B" w:rsidRPr="008362FA">
        <w:rPr>
          <w:szCs w:val="26"/>
        </w:rPr>
        <w:t xml:space="preserve">. </w:t>
      </w:r>
    </w:p>
    <w:p w14:paraId="01D5E7B7" w14:textId="103820E2" w:rsidR="00924DF2" w:rsidRDefault="00924DF2" w:rsidP="00924DF2">
      <w:pPr>
        <w:spacing w:line="276" w:lineRule="auto"/>
      </w:pPr>
      <w:r w:rsidRPr="002F64EF">
        <w:t>The results showed a mean value of 3.4521 was scored to mean that programme intended to harness their socio-economic potential and to increase self-employment opportunities and levels of income, a mean value of 3.8824 was scored to mean that youths were able to set up own enterprises, mean value of 1.5424 was scored to mean that youths have not been able to make savings, a mean value of 2.3077 was scored to mean that many of the youths still have the same initial business set ups that were funded by the ministry, a mean value of 4.5385 was scored to mean that youth have been able to have an improved standard of living and well-being</w:t>
      </w:r>
      <w:r>
        <w:t>.</w:t>
      </w:r>
    </w:p>
    <w:p w14:paraId="54523399" w14:textId="333D997F" w:rsidR="00924DF2" w:rsidRDefault="00924DF2" w:rsidP="00924DF2">
      <w:pPr>
        <w:spacing w:line="276" w:lineRule="auto"/>
      </w:pPr>
      <w:r w:rsidRPr="002F64EF">
        <w:t xml:space="preserve">The results also showed </w:t>
      </w:r>
      <w:r w:rsidRPr="00BC1C3F">
        <w:t xml:space="preserve">a mean value of 1.8245 </w:t>
      </w:r>
      <w:r>
        <w:t xml:space="preserve">was scored to mean </w:t>
      </w:r>
      <w:r w:rsidRPr="002F64EF">
        <w:t xml:space="preserve">that the agenda of ensuring youths are trained and equipped with life and entrepreneurship skills was not given to a big number of youths, </w:t>
      </w:r>
      <w:r w:rsidRPr="00BC1C3F">
        <w:t xml:space="preserve">a mean value of 4.4887 </w:t>
      </w:r>
      <w:r>
        <w:t xml:space="preserve">was scored to mean that </w:t>
      </w:r>
      <w:r w:rsidRPr="002F64EF">
        <w:t xml:space="preserve">youths among the business startups from the YLP was carpentry and joinery, </w:t>
      </w:r>
      <w:r w:rsidRPr="00BC1C3F">
        <w:t xml:space="preserve">a mean value of 2.3451 </w:t>
      </w:r>
      <w:r>
        <w:t xml:space="preserve">was scored to mean that </w:t>
      </w:r>
      <w:r w:rsidRPr="002F64EF">
        <w:t xml:space="preserve">the contribution of youth well-being through motor mechanics is not much recognised, </w:t>
      </w:r>
      <w:r w:rsidRPr="00BC1C3F">
        <w:t>a mean score of 3.5747</w:t>
      </w:r>
      <w:r>
        <w:t xml:space="preserve"> was scored to mean that </w:t>
      </w:r>
      <w:r w:rsidRPr="002F64EF">
        <w:t>the YLP has supported many youths through hair dressing</w:t>
      </w:r>
      <w:r>
        <w:t>.</w:t>
      </w:r>
    </w:p>
    <w:p w14:paraId="5D3663DE" w14:textId="55B37FB4" w:rsidR="00924DF2" w:rsidRPr="00924DF2" w:rsidRDefault="00924DF2" w:rsidP="00924DF2">
      <w:pPr>
        <w:spacing w:line="276" w:lineRule="auto"/>
        <w:rPr>
          <w:szCs w:val="24"/>
          <w:lang w:val="af-ZA"/>
        </w:rPr>
      </w:pPr>
      <w:r w:rsidRPr="002F64EF">
        <w:rPr>
          <w:iCs/>
        </w:rPr>
        <w:t>The results also indicate</w:t>
      </w:r>
      <w:r w:rsidRPr="00E26F98">
        <w:t xml:space="preserve"> </w:t>
      </w:r>
      <w:r w:rsidRPr="00BC1C3F">
        <w:t xml:space="preserve">a mean value of 4.5611 </w:t>
      </w:r>
      <w:r>
        <w:t>was scored to mean</w:t>
      </w:r>
      <w:r w:rsidRPr="002F64EF">
        <w:rPr>
          <w:iCs/>
        </w:rPr>
        <w:t xml:space="preserve"> that </w:t>
      </w:r>
      <w:r w:rsidRPr="002F64EF">
        <w:t xml:space="preserve">there has been a mega drive towards youth empowerment through various programs that have been put in place to skill the youths, </w:t>
      </w:r>
      <w:r w:rsidRPr="00BC1C3F">
        <w:rPr>
          <w:rFonts w:eastAsia="Times New Roman" w:cs="Times New Roman"/>
          <w:szCs w:val="24"/>
          <w:lang w:val="en-GB" w:eastAsia="en-GB"/>
        </w:rPr>
        <w:t xml:space="preserve">a mean value of 4.4163 </w:t>
      </w:r>
      <w:r>
        <w:rPr>
          <w:rFonts w:eastAsia="Times New Roman" w:cs="Times New Roman"/>
          <w:szCs w:val="24"/>
          <w:lang w:val="en-GB" w:eastAsia="en-GB"/>
        </w:rPr>
        <w:t xml:space="preserve">was scored to mean that </w:t>
      </w:r>
      <w:r w:rsidRPr="002F64EF">
        <w:rPr>
          <w:rFonts w:eastAsia="Times New Roman" w:cs="Times New Roman"/>
          <w:szCs w:val="24"/>
          <w:lang w:val="en-GB" w:eastAsia="en-GB"/>
        </w:rPr>
        <w:t xml:space="preserve">the life goals of the youths and their perception has been able to change over time, </w:t>
      </w:r>
      <w:r w:rsidRPr="00BC1C3F">
        <w:rPr>
          <w:rFonts w:eastAsia="Times New Roman" w:cs="Times New Roman"/>
          <w:szCs w:val="24"/>
          <w:lang w:val="en-GB" w:eastAsia="en-GB"/>
        </w:rPr>
        <w:t xml:space="preserve">a mean value of 4.4253 </w:t>
      </w:r>
      <w:r>
        <w:rPr>
          <w:rFonts w:eastAsia="Times New Roman" w:cs="Times New Roman"/>
          <w:szCs w:val="24"/>
          <w:lang w:val="en-GB" w:eastAsia="en-GB"/>
        </w:rPr>
        <w:t xml:space="preserve">was scored to mean that </w:t>
      </w:r>
      <w:r w:rsidRPr="002F64EF">
        <w:rPr>
          <w:rFonts w:eastAsia="Times New Roman" w:cs="Times New Roman"/>
          <w:szCs w:val="24"/>
          <w:lang w:val="en-GB" w:eastAsia="en-GB"/>
        </w:rPr>
        <w:t>youths have been able to learn how to put some money on the side for future need</w:t>
      </w:r>
      <w:r>
        <w:rPr>
          <w:rFonts w:eastAsia="Times New Roman" w:cs="Times New Roman"/>
          <w:szCs w:val="24"/>
          <w:lang w:val="en-GB" w:eastAsia="en-GB"/>
        </w:rPr>
        <w:t>.</w:t>
      </w:r>
    </w:p>
    <w:p w14:paraId="4C9B43FF" w14:textId="5C0427B2" w:rsidR="00D83817" w:rsidRPr="00084C89" w:rsidRDefault="00D83817" w:rsidP="00D83817">
      <w:pPr>
        <w:rPr>
          <w:b/>
        </w:rPr>
      </w:pPr>
      <w:r w:rsidRPr="00084C89">
        <w:rPr>
          <w:b/>
        </w:rPr>
        <w:t>Recommendation</w:t>
      </w:r>
    </w:p>
    <w:p w14:paraId="63912698" w14:textId="77777777" w:rsidR="0081600E" w:rsidRPr="002F64EF" w:rsidRDefault="0081600E" w:rsidP="0081600E">
      <w:pPr>
        <w:pStyle w:val="ListParagraph"/>
        <w:numPr>
          <w:ilvl w:val="0"/>
          <w:numId w:val="3"/>
        </w:numPr>
        <w:spacing w:line="480" w:lineRule="auto"/>
      </w:pPr>
      <w:r w:rsidRPr="002F64EF">
        <w:t xml:space="preserve">Targeted youth groups must be involved right from project initiation throughout the project cycle so as to create a sense of ownership and make the projects sustainable. This could be done by allowing the youth to select enterprises of their choice, actively participate in implementation, monitoring and evaluation of the project. </w:t>
      </w:r>
    </w:p>
    <w:p w14:paraId="528291AD" w14:textId="77777777" w:rsidR="0081600E" w:rsidRPr="002F64EF" w:rsidRDefault="0081600E" w:rsidP="0081600E">
      <w:pPr>
        <w:pStyle w:val="ListParagraph"/>
        <w:numPr>
          <w:ilvl w:val="0"/>
          <w:numId w:val="3"/>
        </w:numPr>
        <w:spacing w:line="480" w:lineRule="auto"/>
      </w:pPr>
      <w:r w:rsidRPr="002F64EF">
        <w:lastRenderedPageBreak/>
        <w:t xml:space="preserve">More tailored training should be provided to the project team members. Such trainings could cover enterprise management, financial management, group dynamics, among others. </w:t>
      </w:r>
    </w:p>
    <w:p w14:paraId="761B685F" w14:textId="77777777" w:rsidR="0081600E" w:rsidRPr="002F64EF" w:rsidRDefault="0081600E" w:rsidP="0081600E">
      <w:pPr>
        <w:pStyle w:val="ListParagraph"/>
        <w:numPr>
          <w:ilvl w:val="0"/>
          <w:numId w:val="3"/>
        </w:numPr>
        <w:spacing w:line="480" w:lineRule="auto"/>
      </w:pPr>
      <w:r w:rsidRPr="002F64EF">
        <w:t xml:space="preserve">In addition, the training should target all the project members for an adequate number of days to enable them acquire all the necessary skills needed for the effective management of the projects. </w:t>
      </w:r>
    </w:p>
    <w:p w14:paraId="33928D1B" w14:textId="77777777" w:rsidR="0081600E" w:rsidRDefault="0081600E" w:rsidP="0081600E">
      <w:pPr>
        <w:pStyle w:val="ListParagraph"/>
        <w:numPr>
          <w:ilvl w:val="0"/>
          <w:numId w:val="3"/>
        </w:numPr>
        <w:spacing w:line="480" w:lineRule="auto"/>
      </w:pPr>
      <w:r w:rsidRPr="002F64EF">
        <w:t xml:space="preserve">There is need to clearly specify the roles of the different leadership structures and stakeholders so as to avoid role conflicts and make the projects viable and sustainable. </w:t>
      </w:r>
    </w:p>
    <w:p w14:paraId="55A913AB" w14:textId="64FC0682" w:rsidR="00A26BDD" w:rsidRDefault="0081600E" w:rsidP="0081600E">
      <w:pPr>
        <w:pStyle w:val="ListParagraph"/>
        <w:numPr>
          <w:ilvl w:val="0"/>
          <w:numId w:val="3"/>
        </w:numPr>
        <w:spacing w:line="480" w:lineRule="auto"/>
        <w:sectPr w:rsidR="00A26BDD" w:rsidSect="002741AF">
          <w:pgSz w:w="12240" w:h="15840"/>
          <w:pgMar w:top="1440" w:right="1440" w:bottom="1440" w:left="1440" w:header="720" w:footer="720" w:gutter="0"/>
          <w:pgNumType w:fmt="lowerRoman" w:start="1"/>
          <w:cols w:space="720"/>
          <w:docGrid w:linePitch="360"/>
        </w:sectPr>
      </w:pPr>
      <w:r w:rsidRPr="002F64EF">
        <w:t>The division should develop customized funds utilization procedures for the project groups so as to ensure efficiency and effectiveness in order to make the group projects more sustainable</w:t>
      </w:r>
      <w:r w:rsidR="00A26BDD" w:rsidRPr="00101727">
        <w:t>.</w:t>
      </w:r>
    </w:p>
    <w:p w14:paraId="6A4F0428" w14:textId="77777777" w:rsidR="00D83817" w:rsidRPr="00363353" w:rsidRDefault="00D83817" w:rsidP="00D83817">
      <w:pPr>
        <w:rPr>
          <w:b/>
        </w:rPr>
      </w:pPr>
      <w:r w:rsidRPr="00363353">
        <w:rPr>
          <w:b/>
        </w:rPr>
        <w:lastRenderedPageBreak/>
        <w:t>Key references</w:t>
      </w:r>
    </w:p>
    <w:p w14:paraId="1363D5AF" w14:textId="77777777" w:rsidR="0063287D" w:rsidRPr="002F64EF" w:rsidRDefault="0063287D" w:rsidP="0063287D">
      <w:r w:rsidRPr="002F64EF">
        <w:t xml:space="preserve">Adubango, L. (2018): </w:t>
      </w:r>
      <w:r w:rsidRPr="002F64EF">
        <w:rPr>
          <w:rFonts w:eastAsia="Times New Roman" w:cs="Times New Roman"/>
          <w:szCs w:val="24"/>
          <w:lang w:eastAsia="en-GB"/>
        </w:rPr>
        <w:t xml:space="preserve">Department </w:t>
      </w:r>
      <w:r w:rsidRPr="002F64EF">
        <w:rPr>
          <w:rFonts w:eastAsia="Times New Roman" w:cs="Times New Roman"/>
          <w:bCs/>
          <w:szCs w:val="24"/>
          <w:lang w:eastAsia="en-GB"/>
        </w:rPr>
        <w:t xml:space="preserve">of </w:t>
      </w:r>
      <w:r w:rsidRPr="002F64EF">
        <w:rPr>
          <w:rFonts w:eastAsia="Times New Roman" w:cs="Times New Roman"/>
          <w:szCs w:val="24"/>
          <w:lang w:eastAsia="en-GB"/>
        </w:rPr>
        <w:t xml:space="preserve">Agriculture </w:t>
      </w:r>
      <w:r w:rsidRPr="002F64EF">
        <w:rPr>
          <w:rFonts w:eastAsia="Times New Roman" w:cs="Times New Roman"/>
          <w:bCs/>
          <w:szCs w:val="24"/>
          <w:lang w:eastAsia="en-GB"/>
        </w:rPr>
        <w:t xml:space="preserve">Extension &amp; </w:t>
      </w:r>
      <w:r w:rsidRPr="002F64EF">
        <w:rPr>
          <w:rFonts w:eastAsia="Times New Roman" w:cs="Times New Roman"/>
          <w:szCs w:val="24"/>
          <w:lang w:eastAsia="en-GB"/>
        </w:rPr>
        <w:t xml:space="preserve">Communications. University </w:t>
      </w:r>
      <w:r w:rsidRPr="002F64EF">
        <w:rPr>
          <w:rFonts w:eastAsia="Times New Roman" w:cs="Times New Roman"/>
          <w:bCs/>
          <w:szCs w:val="24"/>
          <w:lang w:eastAsia="en-GB"/>
        </w:rPr>
        <w:t xml:space="preserve">of </w:t>
      </w:r>
      <w:r w:rsidRPr="002F64EF">
        <w:rPr>
          <w:rFonts w:eastAsia="Times New Roman" w:cs="Times New Roman"/>
          <w:szCs w:val="24"/>
          <w:lang w:eastAsia="en-GB"/>
        </w:rPr>
        <w:t xml:space="preserve">Agriculture, PMB </w:t>
      </w:r>
      <w:r w:rsidRPr="002F64EF">
        <w:rPr>
          <w:rFonts w:eastAsia="Times New Roman" w:cs="Times New Roman"/>
          <w:bCs/>
          <w:szCs w:val="24"/>
          <w:lang w:eastAsia="en-GB"/>
        </w:rPr>
        <w:t>273, Makwdi</w:t>
      </w:r>
      <w:r w:rsidRPr="002F64EF">
        <w:rPr>
          <w:rFonts w:eastAsia="Times New Roman" w:cs="Times New Roman"/>
          <w:i/>
          <w:iCs/>
          <w:szCs w:val="24"/>
          <w:lang w:eastAsia="en-GB"/>
        </w:rPr>
        <w:t xml:space="preserve">, </w:t>
      </w:r>
      <w:r w:rsidRPr="002F64EF">
        <w:rPr>
          <w:rFonts w:eastAsia="Times New Roman" w:cs="Times New Roman"/>
          <w:bCs/>
          <w:i/>
          <w:iCs/>
          <w:szCs w:val="24"/>
          <w:lang w:eastAsia="en-GB"/>
        </w:rPr>
        <w:t xml:space="preserve">Benue State, Nigeriti Journal </w:t>
      </w:r>
      <w:r w:rsidRPr="002F64EF">
        <w:rPr>
          <w:rFonts w:eastAsia="Times New Roman" w:cs="Times New Roman"/>
          <w:i/>
          <w:iCs/>
          <w:szCs w:val="24"/>
          <w:lang w:eastAsia="en-GB"/>
        </w:rPr>
        <w:t xml:space="preserve">of Agriculture </w:t>
      </w:r>
      <w:r w:rsidRPr="002F64EF">
        <w:rPr>
          <w:rFonts w:eastAsia="Times New Roman" w:cs="Times New Roman"/>
          <w:bCs/>
          <w:i/>
          <w:iCs/>
          <w:szCs w:val="24"/>
          <w:lang w:eastAsia="en-GB"/>
        </w:rPr>
        <w:t>7(5)365-369, 2012.</w:t>
      </w:r>
    </w:p>
    <w:p w14:paraId="780957A3" w14:textId="77777777" w:rsidR="0063287D" w:rsidRPr="002F64EF" w:rsidRDefault="0063287D" w:rsidP="0063287D">
      <w:pPr>
        <w:spacing w:line="360" w:lineRule="auto"/>
      </w:pPr>
      <w:r w:rsidRPr="002F64EF">
        <w:t xml:space="preserve">Agency for Transformation, 2014): </w:t>
      </w:r>
      <w:r w:rsidRPr="002F64EF">
        <w:rPr>
          <w:rFonts w:eastAsia="Times New Roman" w:cs="Times New Roman"/>
          <w:i/>
          <w:szCs w:val="24"/>
          <w:lang w:eastAsia="en-GB"/>
        </w:rPr>
        <w:t>Sustainable Rural Livelihoods, Practical Concepts for the 21stCentury</w:t>
      </w:r>
      <w:r w:rsidRPr="002F64EF">
        <w:rPr>
          <w:rFonts w:eastAsia="Times New Roman" w:cs="Times New Roman"/>
          <w:szCs w:val="24"/>
          <w:lang w:eastAsia="en-GB"/>
        </w:rPr>
        <w:t>. IDS Discussion Paper 296. Brighton: Institute for Development Studies</w:t>
      </w:r>
    </w:p>
    <w:p w14:paraId="197409D8" w14:textId="77777777" w:rsidR="0063287D" w:rsidRDefault="0063287D" w:rsidP="0063287D">
      <w:pPr>
        <w:rPr>
          <w:rFonts w:eastAsia="Times New Roman" w:cs="Times New Roman"/>
          <w:szCs w:val="24"/>
          <w:lang w:eastAsia="en-GB"/>
        </w:rPr>
      </w:pPr>
      <w:r w:rsidRPr="002F64EF">
        <w:rPr>
          <w:rFonts w:eastAsia="Times New Roman"/>
        </w:rPr>
        <w:t xml:space="preserve">Alkire, K. (2015): </w:t>
      </w:r>
      <w:r w:rsidRPr="002F64EF">
        <w:rPr>
          <w:rFonts w:eastAsia="Times New Roman" w:cs="Times New Roman"/>
          <w:i/>
          <w:iCs/>
          <w:szCs w:val="24"/>
          <w:lang w:eastAsia="en-GB"/>
        </w:rPr>
        <w:t xml:space="preserve">Regional Integration Policies to create jobs for Africa ‘s burgeoning population.” </w:t>
      </w:r>
      <w:r w:rsidRPr="002F64EF">
        <w:rPr>
          <w:rFonts w:eastAsia="Times New Roman" w:cs="Times New Roman"/>
          <w:bCs/>
          <w:szCs w:val="24"/>
          <w:lang w:eastAsia="en-GB"/>
        </w:rPr>
        <w:t xml:space="preserve">African Capacity </w:t>
      </w:r>
      <w:r w:rsidRPr="002F64EF">
        <w:rPr>
          <w:rFonts w:eastAsia="Times New Roman" w:cs="Times New Roman"/>
          <w:szCs w:val="24"/>
          <w:lang w:eastAsia="en-GB"/>
        </w:rPr>
        <w:t xml:space="preserve">Building </w:t>
      </w:r>
      <w:r w:rsidRPr="002F64EF">
        <w:rPr>
          <w:rFonts w:eastAsia="Times New Roman" w:cs="Times New Roman"/>
          <w:bCs/>
          <w:szCs w:val="24"/>
          <w:lang w:eastAsia="en-GB"/>
        </w:rPr>
        <w:t xml:space="preserve">Foundation (ACBF), </w:t>
      </w:r>
      <w:r w:rsidRPr="002F64EF">
        <w:rPr>
          <w:rFonts w:eastAsia="Times New Roman" w:cs="Times New Roman"/>
          <w:szCs w:val="24"/>
          <w:lang w:eastAsia="en-GB"/>
        </w:rPr>
        <w:t>Working Paper No. 21</w:t>
      </w:r>
    </w:p>
    <w:p w14:paraId="13AA603D" w14:textId="77777777" w:rsidR="0063287D" w:rsidRDefault="0063287D" w:rsidP="0063287D">
      <w:pPr>
        <w:spacing w:after="0"/>
        <w:jc w:val="left"/>
        <w:rPr>
          <w:rFonts w:eastAsia="Times New Roman" w:cs="Times New Roman"/>
          <w:szCs w:val="24"/>
          <w:lang w:eastAsia="en-GB"/>
        </w:rPr>
      </w:pPr>
      <w:r w:rsidRPr="00E64635">
        <w:rPr>
          <w:rFonts w:eastAsia="Times New Roman" w:cs="Times New Roman"/>
          <w:szCs w:val="24"/>
          <w:lang w:eastAsia="en-GB"/>
        </w:rPr>
        <w:t xml:space="preserve">Amin, M. K. (2005). </w:t>
      </w:r>
      <w:r w:rsidRPr="00E64635">
        <w:rPr>
          <w:rFonts w:eastAsia="Times New Roman" w:cs="Times New Roman"/>
          <w:i/>
          <w:iCs/>
          <w:szCs w:val="24"/>
          <w:lang w:eastAsia="en-GB"/>
        </w:rPr>
        <w:t>Social science research: Conception methodology and analysis</w:t>
      </w:r>
      <w:r w:rsidRPr="00E64635">
        <w:rPr>
          <w:rFonts w:eastAsia="Times New Roman" w:cs="Times New Roman"/>
          <w:szCs w:val="24"/>
          <w:lang w:eastAsia="en-GB"/>
        </w:rPr>
        <w:t>. Kampala: Makerere University Printery.</w:t>
      </w:r>
    </w:p>
    <w:p w14:paraId="0A3AC38E" w14:textId="77777777" w:rsidR="0063287D" w:rsidRPr="00E64635" w:rsidRDefault="0063287D" w:rsidP="0063287D">
      <w:pPr>
        <w:spacing w:after="0"/>
        <w:jc w:val="left"/>
        <w:rPr>
          <w:rFonts w:eastAsia="Times New Roman" w:cs="Times New Roman"/>
          <w:szCs w:val="24"/>
          <w:lang w:eastAsia="en-GB"/>
        </w:rPr>
      </w:pPr>
    </w:p>
    <w:p w14:paraId="0B6CC554" w14:textId="77777777" w:rsidR="0063287D" w:rsidRPr="002F64EF" w:rsidRDefault="0063287D" w:rsidP="0063287D">
      <w:r w:rsidRPr="002F64EF">
        <w:rPr>
          <w:lang w:eastAsia="en-GB"/>
        </w:rPr>
        <w:t xml:space="preserve">Axster (2010): </w:t>
      </w:r>
      <w:r w:rsidRPr="002F64EF">
        <w:rPr>
          <w:rFonts w:eastAsia="Times New Roman" w:cs="Times New Roman"/>
          <w:szCs w:val="24"/>
          <w:lang w:eastAsia="en-GB"/>
        </w:rPr>
        <w:t>Youth Entrepreneurial Groups and Support Mechanisms in Nairobi: Access and Needs ‘. Unpublished Master ‘s thesis. University of Amsterdam, Amsterdam, Netherlands.</w:t>
      </w:r>
    </w:p>
    <w:p w14:paraId="66DAD778" w14:textId="77777777" w:rsidR="0063287D" w:rsidRPr="002F64EF" w:rsidRDefault="0063287D" w:rsidP="0063287D">
      <w:pPr>
        <w:rPr>
          <w:lang w:eastAsia="en-GB"/>
        </w:rPr>
      </w:pPr>
      <w:r w:rsidRPr="002F64EF">
        <w:rPr>
          <w:lang w:eastAsia="en-GB"/>
        </w:rPr>
        <w:t xml:space="preserve">Aya, P. (2012): </w:t>
      </w:r>
      <w:r w:rsidRPr="002F64EF">
        <w:rPr>
          <w:rFonts w:eastAsia="Times New Roman" w:cs="Times New Roman"/>
          <w:bCs/>
          <w:i/>
          <w:iCs/>
          <w:szCs w:val="24"/>
          <w:lang w:eastAsia="en-GB"/>
        </w:rPr>
        <w:t xml:space="preserve">Internal mobility and youth </w:t>
      </w:r>
      <w:r w:rsidRPr="002F64EF">
        <w:rPr>
          <w:rFonts w:eastAsia="Times New Roman" w:cs="Times New Roman"/>
          <w:i/>
          <w:iCs/>
          <w:szCs w:val="24"/>
          <w:lang w:eastAsia="en-GB"/>
        </w:rPr>
        <w:t xml:space="preserve">entrepreneurship </w:t>
      </w:r>
      <w:r w:rsidRPr="002F64EF">
        <w:rPr>
          <w:rFonts w:eastAsia="Times New Roman" w:cs="Times New Roman"/>
          <w:bCs/>
          <w:i/>
          <w:iCs/>
          <w:szCs w:val="24"/>
          <w:lang w:eastAsia="en-GB"/>
        </w:rPr>
        <w:t xml:space="preserve">in Democratic Republic of Congo, </w:t>
      </w:r>
      <w:r w:rsidRPr="002F64EF">
        <w:rPr>
          <w:rFonts w:eastAsia="Times New Roman" w:cs="Times New Roman"/>
          <w:szCs w:val="24"/>
          <w:lang w:eastAsia="en-GB"/>
        </w:rPr>
        <w:t xml:space="preserve">Partnership for Economic </w:t>
      </w:r>
      <w:r w:rsidRPr="002F64EF">
        <w:rPr>
          <w:rFonts w:eastAsia="Times New Roman" w:cs="Times New Roman"/>
          <w:bCs/>
          <w:szCs w:val="24"/>
          <w:lang w:eastAsia="en-GB"/>
        </w:rPr>
        <w:t xml:space="preserve">Policy, </w:t>
      </w:r>
      <w:r w:rsidRPr="002F64EF">
        <w:rPr>
          <w:rFonts w:eastAsia="Times New Roman" w:cs="Times New Roman"/>
          <w:szCs w:val="24"/>
          <w:lang w:eastAsia="en-GB"/>
        </w:rPr>
        <w:t xml:space="preserve">November </w:t>
      </w:r>
      <w:r w:rsidRPr="002F64EF">
        <w:rPr>
          <w:rFonts w:eastAsia="Times New Roman" w:cs="Times New Roman"/>
          <w:bCs/>
          <w:i/>
          <w:iCs/>
          <w:szCs w:val="24"/>
          <w:lang w:eastAsia="en-GB"/>
        </w:rPr>
        <w:t>2015</w:t>
      </w:r>
    </w:p>
    <w:p w14:paraId="7488FA05" w14:textId="77777777" w:rsidR="0063287D" w:rsidRPr="002F64EF" w:rsidRDefault="0063287D" w:rsidP="0063287D">
      <w:r w:rsidRPr="002F64EF">
        <w:t>Bersaglio, M. and Emmerson, J. (2015):</w:t>
      </w:r>
      <w:r w:rsidRPr="002F64EF">
        <w:rPr>
          <w:rFonts w:eastAsia="Times New Roman" w:cs="Times New Roman"/>
          <w:bCs/>
          <w:i/>
          <w:iCs/>
          <w:szCs w:val="24"/>
          <w:lang w:eastAsia="en-GB"/>
        </w:rPr>
        <w:t xml:space="preserve"> Economic determinants of Turkish youth unemployment problem; co integration analysis. </w:t>
      </w:r>
      <w:r w:rsidRPr="002F64EF">
        <w:rPr>
          <w:rFonts w:eastAsia="Times New Roman" w:cs="Times New Roman"/>
          <w:szCs w:val="24"/>
          <w:lang w:eastAsia="en-GB"/>
        </w:rPr>
        <w:t xml:space="preserve">International Conference on Applied Economics — </w:t>
      </w:r>
      <w:r w:rsidRPr="002F64EF">
        <w:rPr>
          <w:rFonts w:eastAsia="Times New Roman" w:cs="Times New Roman"/>
          <w:bCs/>
          <w:szCs w:val="24"/>
          <w:lang w:eastAsia="en-GB"/>
        </w:rPr>
        <w:t xml:space="preserve">ICOAE 2011, pp267-271 </w:t>
      </w:r>
      <w:r w:rsidRPr="002F64EF">
        <w:t xml:space="preserve"> </w:t>
      </w:r>
    </w:p>
    <w:p w14:paraId="45EC9371" w14:textId="77777777" w:rsidR="0063287D" w:rsidRPr="002F64EF" w:rsidRDefault="0063287D" w:rsidP="0063287D">
      <w:r w:rsidRPr="002F64EF">
        <w:t xml:space="preserve">Chesiyna, H. and Wanyoike, F. (2018): </w:t>
      </w:r>
      <w:r w:rsidRPr="002F64EF">
        <w:rPr>
          <w:rFonts w:eastAsia="Times New Roman" w:cs="Times New Roman"/>
          <w:i/>
          <w:iCs/>
          <w:szCs w:val="24"/>
          <w:lang w:eastAsia="en-GB"/>
        </w:rPr>
        <w:t xml:space="preserve">Unemployment and </w:t>
      </w:r>
      <w:r w:rsidRPr="002F64EF">
        <w:rPr>
          <w:rFonts w:eastAsia="Times New Roman" w:cs="Times New Roman"/>
          <w:bCs/>
          <w:i/>
          <w:iCs/>
          <w:szCs w:val="24"/>
          <w:lang w:eastAsia="en-GB"/>
        </w:rPr>
        <w:t xml:space="preserve">Health Policy in Australia, </w:t>
      </w:r>
      <w:r w:rsidRPr="002F64EF">
        <w:rPr>
          <w:rFonts w:eastAsia="Times New Roman" w:cs="Times New Roman"/>
          <w:szCs w:val="24"/>
          <w:lang w:eastAsia="en-GB"/>
        </w:rPr>
        <w:t xml:space="preserve">Health Policy Document, Australian Medical </w:t>
      </w:r>
      <w:r w:rsidRPr="002F64EF">
        <w:rPr>
          <w:rFonts w:eastAsia="Times New Roman" w:cs="Times New Roman"/>
          <w:bCs/>
          <w:szCs w:val="24"/>
          <w:lang w:eastAsia="en-GB"/>
        </w:rPr>
        <w:t xml:space="preserve">Students </w:t>
      </w:r>
      <w:r w:rsidRPr="002F64EF">
        <w:rPr>
          <w:rFonts w:eastAsia="Times New Roman" w:cs="Times New Roman"/>
          <w:szCs w:val="24"/>
          <w:lang w:eastAsia="en-GB"/>
        </w:rPr>
        <w:t>Association</w:t>
      </w:r>
    </w:p>
    <w:p w14:paraId="1FE1392F" w14:textId="77777777" w:rsidR="0063287D" w:rsidRPr="002F64EF" w:rsidRDefault="0063287D" w:rsidP="0063287D">
      <w:r w:rsidRPr="002F64EF">
        <w:t xml:space="preserve">Christina, L. (2016): </w:t>
      </w:r>
      <w:r w:rsidRPr="002F64EF">
        <w:rPr>
          <w:rFonts w:eastAsia="Times New Roman" w:cs="Times New Roman"/>
          <w:bCs/>
          <w:i/>
          <w:iCs/>
          <w:szCs w:val="24"/>
          <w:lang w:eastAsia="en-GB"/>
        </w:rPr>
        <w:t xml:space="preserve">Urban Youth Unemployment in Africa: Whither Socio-Economic </w:t>
      </w:r>
      <w:r w:rsidRPr="002F64EF">
        <w:rPr>
          <w:rFonts w:eastAsia="Times New Roman" w:cs="Times New Roman"/>
          <w:bCs/>
          <w:i/>
          <w:iCs/>
          <w:szCs w:val="24"/>
          <w:lang w:eastAsia="en-GB"/>
        </w:rPr>
        <w:br/>
        <w:t xml:space="preserve">Problems. </w:t>
      </w:r>
      <w:r w:rsidRPr="002F64EF">
        <w:rPr>
          <w:rFonts w:eastAsia="Times New Roman" w:cs="Times New Roman"/>
          <w:szCs w:val="24"/>
          <w:lang w:eastAsia="en-GB"/>
        </w:rPr>
        <w:t xml:space="preserve">Mediterranean </w:t>
      </w:r>
      <w:r w:rsidRPr="002F64EF">
        <w:rPr>
          <w:rFonts w:eastAsia="Times New Roman" w:cs="Times New Roman"/>
          <w:bCs/>
          <w:szCs w:val="24"/>
          <w:lang w:eastAsia="en-GB"/>
        </w:rPr>
        <w:t xml:space="preserve">Journal of </w:t>
      </w:r>
      <w:r w:rsidRPr="002F64EF">
        <w:rPr>
          <w:rFonts w:eastAsia="Times New Roman" w:cs="Times New Roman"/>
          <w:szCs w:val="24"/>
          <w:lang w:eastAsia="en-GB"/>
        </w:rPr>
        <w:t xml:space="preserve">Social Science MCSER Publishing, </w:t>
      </w:r>
      <w:r w:rsidRPr="002F64EF">
        <w:rPr>
          <w:rFonts w:eastAsia="Times New Roman" w:cs="Times New Roman"/>
          <w:bCs/>
          <w:szCs w:val="24"/>
          <w:lang w:eastAsia="en-GB"/>
        </w:rPr>
        <w:t xml:space="preserve">Rome-Italy, </w:t>
      </w:r>
      <w:r w:rsidRPr="002F64EF">
        <w:rPr>
          <w:rFonts w:eastAsia="Times New Roman" w:cs="Times New Roman"/>
          <w:bCs/>
          <w:i/>
          <w:iCs/>
          <w:szCs w:val="24"/>
          <w:lang w:eastAsia="en-GB"/>
        </w:rPr>
        <w:t>5(9):3340</w:t>
      </w:r>
    </w:p>
    <w:p w14:paraId="1E5B7F77" w14:textId="77777777" w:rsidR="0063287D" w:rsidRPr="002F64EF" w:rsidRDefault="0063287D" w:rsidP="0063287D">
      <w:pPr>
        <w:rPr>
          <w:lang w:eastAsia="en-GB"/>
        </w:rPr>
      </w:pPr>
      <w:r w:rsidRPr="002F64EF">
        <w:rPr>
          <w:lang w:eastAsia="en-GB"/>
        </w:rPr>
        <w:t xml:space="preserve">FinScope, U. (2013): </w:t>
      </w:r>
      <w:r w:rsidRPr="002F64EF">
        <w:rPr>
          <w:rFonts w:eastAsia="Times New Roman" w:cs="Times New Roman"/>
          <w:szCs w:val="24"/>
          <w:lang w:eastAsia="en-GB"/>
        </w:rPr>
        <w:t xml:space="preserve">Youth in Kenya: Force for Change or Lost Generation? Paper presented at World Bank ESSD Week Session on Youth: </w:t>
      </w:r>
      <w:r w:rsidRPr="002F64EF">
        <w:rPr>
          <w:rFonts w:eastAsia="Times New Roman" w:cs="Times New Roman"/>
          <w:i/>
          <w:szCs w:val="24"/>
          <w:lang w:eastAsia="en-GB"/>
        </w:rPr>
        <w:t>Assets for Social and Economic Transformation organised by the World Bank</w:t>
      </w:r>
    </w:p>
    <w:p w14:paraId="4C642E81" w14:textId="77777777" w:rsidR="00D83817" w:rsidRDefault="00D83817" w:rsidP="00D83817"/>
    <w:p w14:paraId="3A58FA22" w14:textId="77777777" w:rsidR="00D83817" w:rsidRDefault="00D83817" w:rsidP="00D83817"/>
    <w:p w14:paraId="0280BA14" w14:textId="77777777" w:rsidR="00D83817" w:rsidRDefault="00D83817" w:rsidP="00D83817"/>
    <w:p w14:paraId="1F6F4EEF" w14:textId="77777777" w:rsidR="00D27203" w:rsidRDefault="0063287D"/>
    <w:sectPr w:rsidR="00D27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77F"/>
    <w:multiLevelType w:val="multilevel"/>
    <w:tmpl w:val="E9C82682"/>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A47C31"/>
    <w:multiLevelType w:val="hybridMultilevel"/>
    <w:tmpl w:val="9418E6D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71F62C6"/>
    <w:multiLevelType w:val="hybridMultilevel"/>
    <w:tmpl w:val="3E8CDD98"/>
    <w:lvl w:ilvl="0" w:tplc="D0200BC8">
      <w:start w:val="1"/>
      <w:numFmt w:val="bullet"/>
      <w:lvlText w:val=""/>
      <w:lvlJc w:val="left"/>
      <w:pPr>
        <w:tabs>
          <w:tab w:val="num" w:pos="720"/>
        </w:tabs>
        <w:ind w:left="720" w:hanging="360"/>
      </w:pPr>
      <w:rPr>
        <w:rFonts w:ascii="Wingdings" w:hAnsi="Wingdings" w:hint="default"/>
      </w:rPr>
    </w:lvl>
    <w:lvl w:ilvl="1" w:tplc="43B4B7EA" w:tentative="1">
      <w:start w:val="1"/>
      <w:numFmt w:val="bullet"/>
      <w:lvlText w:val=""/>
      <w:lvlJc w:val="left"/>
      <w:pPr>
        <w:tabs>
          <w:tab w:val="num" w:pos="1440"/>
        </w:tabs>
        <w:ind w:left="1440" w:hanging="360"/>
      </w:pPr>
      <w:rPr>
        <w:rFonts w:ascii="Wingdings" w:hAnsi="Wingdings" w:hint="default"/>
      </w:rPr>
    </w:lvl>
    <w:lvl w:ilvl="2" w:tplc="396A09A6" w:tentative="1">
      <w:start w:val="1"/>
      <w:numFmt w:val="bullet"/>
      <w:lvlText w:val=""/>
      <w:lvlJc w:val="left"/>
      <w:pPr>
        <w:tabs>
          <w:tab w:val="num" w:pos="2160"/>
        </w:tabs>
        <w:ind w:left="2160" w:hanging="360"/>
      </w:pPr>
      <w:rPr>
        <w:rFonts w:ascii="Wingdings" w:hAnsi="Wingdings" w:hint="default"/>
      </w:rPr>
    </w:lvl>
    <w:lvl w:ilvl="3" w:tplc="9214A79C" w:tentative="1">
      <w:start w:val="1"/>
      <w:numFmt w:val="bullet"/>
      <w:lvlText w:val=""/>
      <w:lvlJc w:val="left"/>
      <w:pPr>
        <w:tabs>
          <w:tab w:val="num" w:pos="2880"/>
        </w:tabs>
        <w:ind w:left="2880" w:hanging="360"/>
      </w:pPr>
      <w:rPr>
        <w:rFonts w:ascii="Wingdings" w:hAnsi="Wingdings" w:hint="default"/>
      </w:rPr>
    </w:lvl>
    <w:lvl w:ilvl="4" w:tplc="BEA2C40C" w:tentative="1">
      <w:start w:val="1"/>
      <w:numFmt w:val="bullet"/>
      <w:lvlText w:val=""/>
      <w:lvlJc w:val="left"/>
      <w:pPr>
        <w:tabs>
          <w:tab w:val="num" w:pos="3600"/>
        </w:tabs>
        <w:ind w:left="3600" w:hanging="360"/>
      </w:pPr>
      <w:rPr>
        <w:rFonts w:ascii="Wingdings" w:hAnsi="Wingdings" w:hint="default"/>
      </w:rPr>
    </w:lvl>
    <w:lvl w:ilvl="5" w:tplc="7CC29110" w:tentative="1">
      <w:start w:val="1"/>
      <w:numFmt w:val="bullet"/>
      <w:lvlText w:val=""/>
      <w:lvlJc w:val="left"/>
      <w:pPr>
        <w:tabs>
          <w:tab w:val="num" w:pos="4320"/>
        </w:tabs>
        <w:ind w:left="4320" w:hanging="360"/>
      </w:pPr>
      <w:rPr>
        <w:rFonts w:ascii="Wingdings" w:hAnsi="Wingdings" w:hint="default"/>
      </w:rPr>
    </w:lvl>
    <w:lvl w:ilvl="6" w:tplc="9EEEBB54" w:tentative="1">
      <w:start w:val="1"/>
      <w:numFmt w:val="bullet"/>
      <w:lvlText w:val=""/>
      <w:lvlJc w:val="left"/>
      <w:pPr>
        <w:tabs>
          <w:tab w:val="num" w:pos="5040"/>
        </w:tabs>
        <w:ind w:left="5040" w:hanging="360"/>
      </w:pPr>
      <w:rPr>
        <w:rFonts w:ascii="Wingdings" w:hAnsi="Wingdings" w:hint="default"/>
      </w:rPr>
    </w:lvl>
    <w:lvl w:ilvl="7" w:tplc="00DEA72A" w:tentative="1">
      <w:start w:val="1"/>
      <w:numFmt w:val="bullet"/>
      <w:lvlText w:val=""/>
      <w:lvlJc w:val="left"/>
      <w:pPr>
        <w:tabs>
          <w:tab w:val="num" w:pos="5760"/>
        </w:tabs>
        <w:ind w:left="5760" w:hanging="360"/>
      </w:pPr>
      <w:rPr>
        <w:rFonts w:ascii="Wingdings" w:hAnsi="Wingdings" w:hint="default"/>
      </w:rPr>
    </w:lvl>
    <w:lvl w:ilvl="8" w:tplc="8D7EA8A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17"/>
    <w:rsid w:val="00031786"/>
    <w:rsid w:val="0004005C"/>
    <w:rsid w:val="000457CC"/>
    <w:rsid w:val="000847C6"/>
    <w:rsid w:val="000B6D1A"/>
    <w:rsid w:val="0012346A"/>
    <w:rsid w:val="00157D24"/>
    <w:rsid w:val="001620B6"/>
    <w:rsid w:val="001862CC"/>
    <w:rsid w:val="001B2552"/>
    <w:rsid w:val="00252A07"/>
    <w:rsid w:val="002B1CE8"/>
    <w:rsid w:val="002E7E99"/>
    <w:rsid w:val="0034390D"/>
    <w:rsid w:val="003511BE"/>
    <w:rsid w:val="0038274D"/>
    <w:rsid w:val="003D3A90"/>
    <w:rsid w:val="003F2D2E"/>
    <w:rsid w:val="00426F24"/>
    <w:rsid w:val="004853FA"/>
    <w:rsid w:val="004867B4"/>
    <w:rsid w:val="0049612B"/>
    <w:rsid w:val="004A6C5C"/>
    <w:rsid w:val="00567672"/>
    <w:rsid w:val="005735D2"/>
    <w:rsid w:val="0058595D"/>
    <w:rsid w:val="005B377F"/>
    <w:rsid w:val="005B62A7"/>
    <w:rsid w:val="005C33C4"/>
    <w:rsid w:val="005D211B"/>
    <w:rsid w:val="0063287D"/>
    <w:rsid w:val="00717478"/>
    <w:rsid w:val="00762A96"/>
    <w:rsid w:val="007D4BBA"/>
    <w:rsid w:val="007F5F29"/>
    <w:rsid w:val="007F72E7"/>
    <w:rsid w:val="00807DB0"/>
    <w:rsid w:val="0081600E"/>
    <w:rsid w:val="008853BE"/>
    <w:rsid w:val="00924DF2"/>
    <w:rsid w:val="00926E86"/>
    <w:rsid w:val="00936713"/>
    <w:rsid w:val="009B2257"/>
    <w:rsid w:val="00A26BDD"/>
    <w:rsid w:val="00A40419"/>
    <w:rsid w:val="00A75AAC"/>
    <w:rsid w:val="00A771B7"/>
    <w:rsid w:val="00AE7615"/>
    <w:rsid w:val="00B175BB"/>
    <w:rsid w:val="00B24A47"/>
    <w:rsid w:val="00B46135"/>
    <w:rsid w:val="00BD146B"/>
    <w:rsid w:val="00C55D45"/>
    <w:rsid w:val="00CB1C5D"/>
    <w:rsid w:val="00D51A29"/>
    <w:rsid w:val="00D671AE"/>
    <w:rsid w:val="00D80AD2"/>
    <w:rsid w:val="00D83817"/>
    <w:rsid w:val="00D94CAB"/>
    <w:rsid w:val="00DB2395"/>
    <w:rsid w:val="00E2288F"/>
    <w:rsid w:val="00F262B1"/>
    <w:rsid w:val="00F5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2430"/>
  <w15:chartTrackingRefBased/>
  <w15:docId w15:val="{3C9910C3-2C0B-4A4B-B757-10C8D9F1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817"/>
    <w:pPr>
      <w:spacing w:after="200" w:line="240" w:lineRule="auto"/>
      <w:jc w:val="both"/>
    </w:pPr>
    <w:rPr>
      <w:rFonts w:ascii="Times New Roman" w:hAnsi="Times New Roman"/>
      <w:sz w:val="24"/>
    </w:rPr>
  </w:style>
  <w:style w:type="paragraph" w:styleId="Heading3">
    <w:name w:val="heading 3"/>
    <w:basedOn w:val="Normal"/>
    <w:next w:val="Normal"/>
    <w:link w:val="Heading3Char"/>
    <w:uiPriority w:val="9"/>
    <w:semiHidden/>
    <w:unhideWhenUsed/>
    <w:qFormat/>
    <w:rsid w:val="00B175BB"/>
    <w:pPr>
      <w:keepNext/>
      <w:keepLines/>
      <w:spacing w:before="40" w:after="0" w:line="480" w:lineRule="auto"/>
      <w:outlineLvl w:val="2"/>
    </w:pPr>
    <w:rPr>
      <w:rFonts w:asciiTheme="majorHAnsi" w:eastAsiaTheme="majorEastAsia" w:hAnsiTheme="majorHAnsi" w:cstheme="majorBidi"/>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83817"/>
    <w:rPr>
      <w:rFonts w:cs="Times New Roman"/>
      <w:i/>
      <w:iCs/>
    </w:rPr>
  </w:style>
  <w:style w:type="paragraph" w:styleId="ListParagraph">
    <w:name w:val="List Paragraph"/>
    <w:aliases w:val="Bullets,Paragraph,Dot pt,List Paragraph Char Char Char,Indicator Text,Numbered Para 1,List Paragraph12,Bullet Points,MAIN CONTENT,Bullet 1,Lapis Bulleted List,LIST OF TABLES.,List Paragraph1"/>
    <w:basedOn w:val="Normal"/>
    <w:link w:val="ListParagraphChar"/>
    <w:uiPriority w:val="34"/>
    <w:qFormat/>
    <w:rsid w:val="00D83817"/>
    <w:pPr>
      <w:ind w:left="720"/>
      <w:contextualSpacing/>
    </w:pPr>
  </w:style>
  <w:style w:type="paragraph" w:customStyle="1" w:styleId="Default">
    <w:name w:val="Default"/>
    <w:qFormat/>
    <w:rsid w:val="000457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B175BB"/>
    <w:rPr>
      <w:rFonts w:asciiTheme="majorHAnsi" w:eastAsiaTheme="majorEastAsia" w:hAnsiTheme="majorHAnsi" w:cstheme="majorBidi"/>
      <w:color w:val="1F4D78" w:themeColor="accent1" w:themeShade="7F"/>
      <w:sz w:val="26"/>
      <w:szCs w:val="24"/>
    </w:rPr>
  </w:style>
  <w:style w:type="character" w:customStyle="1" w:styleId="ListParagraphChar">
    <w:name w:val="List Paragraph Char"/>
    <w:aliases w:val="Bullets Char,Paragraph Char,Dot pt Char,List Paragraph Char Char Char Char,Indicator Text Char,Numbered Para 1 Char,List Paragraph12 Char,Bullet Points Char,MAIN CONTENT Char,Bullet 1 Char,Lapis Bulleted List Char"/>
    <w:link w:val="ListParagraph"/>
    <w:uiPriority w:val="34"/>
    <w:qFormat/>
    <w:locked/>
    <w:rsid w:val="007174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12</cp:revision>
  <dcterms:created xsi:type="dcterms:W3CDTF">2022-02-18T17:33:00Z</dcterms:created>
  <dcterms:modified xsi:type="dcterms:W3CDTF">2022-02-18T17:38:00Z</dcterms:modified>
</cp:coreProperties>
</file>